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uppressAutoHyphens w:val="true"/>
        <w:spacing w:lineRule="auto" w:line="240" w:before="0" w:after="0"/>
        <w:jc w:val="center"/>
        <w:textAlignment w:val="baseline"/>
        <w:rPr>
          <w:rFonts w:ascii="Times New Roman" w:hAnsi="Times New Roman" w:eastAsia="Lucida Sans Unicode" w:cs="Tahoma"/>
          <w:b/>
          <w:b/>
          <w:sz w:val="28"/>
          <w:szCs w:val="28"/>
          <w:lang w:eastAsia="zh-CN"/>
        </w:rPr>
      </w:pPr>
      <w:r>
        <w:rPr>
          <w:rFonts w:eastAsia="Lucida Sans Unicode" w:cs="Tahoma" w:ascii="Times New Roman" w:hAnsi="Times New Roman"/>
          <w:b/>
          <w:sz w:val="28"/>
          <w:szCs w:val="28"/>
          <w:lang w:eastAsia="zh-CN"/>
        </w:rPr>
        <w:t>Gádoros Nagyközség Önkormányzata Képviselő-</w:t>
      </w:r>
    </w:p>
    <w:p>
      <w:pPr>
        <w:pStyle w:val="Normal"/>
        <w:widowControl w:val="false"/>
        <w:suppressAutoHyphens w:val="true"/>
        <w:spacing w:lineRule="auto" w:line="240" w:before="0" w:after="0"/>
        <w:jc w:val="center"/>
        <w:textAlignment w:val="baseline"/>
        <w:rPr>
          <w:rFonts w:ascii="Times New Roman" w:hAnsi="Times New Roman" w:eastAsia="Times New Roman"/>
          <w:b/>
          <w:b/>
          <w:sz w:val="28"/>
          <w:szCs w:val="28"/>
          <w:lang w:eastAsia="zh-CN"/>
        </w:rPr>
      </w:pPr>
      <w:r>
        <w:rPr>
          <w:rFonts w:eastAsia="Lucida Sans Unicode" w:cs="Tahoma" w:ascii="Times New Roman" w:hAnsi="Times New Roman"/>
          <w:b/>
          <w:sz w:val="28"/>
          <w:szCs w:val="28"/>
          <w:lang w:eastAsia="zh-CN"/>
        </w:rPr>
        <w:t>testületének</w:t>
      </w:r>
      <w:r>
        <w:rPr>
          <w:rFonts w:eastAsia="Times New Roman" w:ascii="Times New Roman" w:hAnsi="Times New Roman"/>
          <w:b/>
          <w:sz w:val="28"/>
          <w:szCs w:val="28"/>
          <w:lang w:eastAsia="zh-CN"/>
        </w:rPr>
        <w:t xml:space="preserve"> </w:t>
      </w:r>
      <w:r>
        <w:rPr>
          <w:rFonts w:eastAsia="Lucida Sans Unicode" w:cs="Tahoma" w:ascii="Times New Roman" w:hAnsi="Times New Roman"/>
          <w:b/>
          <w:sz w:val="28"/>
          <w:szCs w:val="28"/>
          <w:lang w:eastAsia="zh-CN"/>
        </w:rPr>
        <w:t>Gondozási Központja</w:t>
      </w:r>
      <w:r>
        <w:rPr>
          <w:rFonts w:eastAsia="Times New Roman" w:ascii="Times New Roman" w:hAnsi="Times New Roman"/>
          <w:b/>
          <w:sz w:val="28"/>
          <w:szCs w:val="28"/>
          <w:lang w:eastAsia="zh-CN"/>
        </w:rPr>
        <w:t xml:space="preserve"> </w:t>
      </w:r>
    </w:p>
    <w:p>
      <w:pPr>
        <w:pStyle w:val="Normal"/>
        <w:widowControl w:val="false"/>
        <w:suppressAutoHyphens w:val="true"/>
        <w:spacing w:lineRule="auto" w:line="240" w:before="0" w:after="0"/>
        <w:jc w:val="center"/>
        <w:textAlignment w:val="baseline"/>
        <w:rPr>
          <w:rFonts w:ascii="Times New Roman" w:hAnsi="Times New Roman" w:eastAsia="Times New Roman"/>
          <w:b/>
          <w:b/>
          <w:sz w:val="28"/>
          <w:szCs w:val="28"/>
          <w:lang w:eastAsia="zh-CN"/>
        </w:rPr>
      </w:pPr>
      <w:r>
        <w:rPr>
          <w:rFonts w:eastAsia="Lucida Sans Unicode" w:cs="Tahoma" w:ascii="Times New Roman" w:hAnsi="Times New Roman"/>
          <w:b/>
          <w:sz w:val="28"/>
          <w:szCs w:val="28"/>
          <w:lang w:eastAsia="zh-CN"/>
        </w:rPr>
        <w:t>5932 Gádoros, Fő u. 30.</w:t>
      </w:r>
    </w:p>
    <w:p>
      <w:pPr>
        <w:pStyle w:val="Normal"/>
        <w:widowControl w:val="false"/>
        <w:suppressAutoHyphens w:val="true"/>
        <w:spacing w:lineRule="auto" w:line="240" w:before="0" w:after="0"/>
        <w:jc w:val="center"/>
        <w:textAlignment w:val="baseline"/>
        <w:rPr>
          <w:rFonts w:ascii="Times New Roman" w:hAnsi="Times New Roman" w:eastAsia="Lucida Sans Unicode" w:cs="Tahoma"/>
          <w:b/>
          <w:b/>
          <w:sz w:val="28"/>
          <w:szCs w:val="28"/>
          <w:lang w:eastAsia="zh-CN"/>
        </w:rPr>
      </w:pPr>
      <w:r>
        <w:rPr>
          <w:rFonts w:eastAsia="Lucida Sans Unicode" w:cs="Tahoma" w:ascii="Times New Roman" w:hAnsi="Times New Roman"/>
          <w:b/>
          <w:sz w:val="28"/>
          <w:szCs w:val="28"/>
          <w:lang w:eastAsia="zh-CN"/>
        </w:rPr>
        <w:t xml:space="preserve">Tel: 06/68 490-079,  </w:t>
      </w:r>
    </w:p>
    <w:p>
      <w:pPr>
        <w:pStyle w:val="Normal"/>
        <w:widowControl w:val="false"/>
        <w:suppressAutoHyphens w:val="true"/>
        <w:spacing w:lineRule="auto" w:line="240" w:before="0" w:after="0"/>
        <w:jc w:val="center"/>
        <w:textAlignment w:val="baseline"/>
        <w:rPr>
          <w:rFonts w:ascii="Times New Roman" w:hAnsi="Times New Roman" w:eastAsia="Times New Roman"/>
          <w:sz w:val="28"/>
          <w:szCs w:val="28"/>
          <w:u w:val="single"/>
          <w:lang w:eastAsia="zh-CN"/>
        </w:rPr>
      </w:pPr>
      <w:r>
        <w:rPr>
          <w:rFonts w:ascii="Times New Roman" w:hAnsi="Times New Roman"/>
          <w:b/>
          <w:sz w:val="28"/>
          <w:szCs w:val="28"/>
          <w:lang w:eastAsia="en-US"/>
        </w:rPr>
        <w:t>email:</w:t>
      </w:r>
      <w:r>
        <w:rPr>
          <w:rFonts w:ascii="Times New Roman" w:hAnsi="Times New Roman"/>
          <w:sz w:val="28"/>
          <w:szCs w:val="28"/>
          <w:u w:val="single"/>
          <w:lang w:eastAsia="en-US"/>
        </w:rPr>
        <w:t xml:space="preserve"> gond.kozp@gadoros.hu</w:t>
      </w:r>
    </w:p>
    <w:p>
      <w:pPr>
        <w:pStyle w:val="Normal"/>
        <w:spacing w:lineRule="auto" w:line="360" w:before="0" w:after="720"/>
        <w:rPr>
          <w:rFonts w:ascii="Times New Roman" w:hAnsi="Times New Roman"/>
          <w:sz w:val="36"/>
          <w:szCs w:val="36"/>
          <w:lang w:eastAsia="en-US"/>
        </w:rPr>
      </w:pPr>
      <w:r>
        <w:rPr>
          <w:rFonts w:ascii="Times New Roman" w:hAnsi="Times New Roman"/>
          <w:sz w:val="36"/>
          <w:szCs w:val="36"/>
          <w:lang w:eastAsia="en-US"/>
        </w:rPr>
      </w:r>
    </w:p>
    <w:p>
      <w:pPr>
        <w:pStyle w:val="Normal"/>
        <w:spacing w:lineRule="auto" w:line="360" w:before="0" w:after="240"/>
        <w:rPr>
          <w:rFonts w:ascii="Times New Roman" w:hAnsi="Times New Roman"/>
          <w:sz w:val="36"/>
          <w:szCs w:val="36"/>
          <w:lang w:eastAsia="en-US"/>
        </w:rPr>
      </w:pPr>
      <w:r>
        <w:rPr>
          <w:rFonts w:ascii="Times New Roman" w:hAnsi="Times New Roman"/>
          <w:sz w:val="36"/>
          <w:szCs w:val="36"/>
          <w:lang w:eastAsia="en-US"/>
        </w:rPr>
        <w:t>Gádoros Nagyközség Önkormányzata Képviselő-testületének</w:t>
      </w:r>
    </w:p>
    <w:p>
      <w:pPr>
        <w:pStyle w:val="Normal"/>
        <w:spacing w:lineRule="auto" w:line="240" w:before="0" w:after="0"/>
        <w:jc w:val="center"/>
        <w:rPr>
          <w:rFonts w:ascii="Times New Roman" w:hAnsi="Times New Roman" w:eastAsia="Times New Roman"/>
          <w:b/>
          <w:b/>
          <w:sz w:val="52"/>
          <w:szCs w:val="52"/>
        </w:rPr>
      </w:pPr>
      <w:r>
        <w:rPr>
          <w:rFonts w:eastAsia="Times New Roman" w:ascii="Times New Roman" w:hAnsi="Times New Roman"/>
          <w:b/>
          <w:sz w:val="52"/>
          <w:szCs w:val="52"/>
        </w:rPr>
        <w:t xml:space="preserve">Beszámoló </w:t>
      </w:r>
    </w:p>
    <w:p>
      <w:pPr>
        <w:pStyle w:val="Normal"/>
        <w:spacing w:lineRule="auto" w:line="240" w:before="0" w:after="0"/>
        <w:jc w:val="center"/>
        <w:rPr>
          <w:rFonts w:ascii="Times New Roman" w:hAnsi="Times New Roman" w:eastAsia="Times New Roman"/>
          <w:sz w:val="40"/>
          <w:szCs w:val="40"/>
        </w:rPr>
      </w:pPr>
      <w:r>
        <w:rPr>
          <w:rFonts w:eastAsia="Times New Roman" w:ascii="Times New Roman" w:hAnsi="Times New Roman"/>
          <w:sz w:val="40"/>
          <w:szCs w:val="40"/>
        </w:rPr>
      </w:r>
    </w:p>
    <w:p>
      <w:pPr>
        <w:pStyle w:val="Normal"/>
        <w:spacing w:lineRule="auto" w:line="240" w:before="0" w:after="0"/>
        <w:jc w:val="center"/>
        <w:rPr>
          <w:rFonts w:ascii="Times New Roman" w:hAnsi="Times New Roman" w:eastAsia="Times New Roman"/>
          <w:sz w:val="40"/>
          <w:szCs w:val="40"/>
        </w:rPr>
      </w:pPr>
      <w:r>
        <w:rPr>
          <w:rFonts w:eastAsia="Times New Roman" w:ascii="Times New Roman" w:hAnsi="Times New Roman"/>
          <w:sz w:val="40"/>
          <w:szCs w:val="40"/>
        </w:rPr>
        <w:t xml:space="preserve">Gondozási Központ </w:t>
      </w:r>
    </w:p>
    <w:p>
      <w:pPr>
        <w:pStyle w:val="Normal"/>
        <w:spacing w:lineRule="auto" w:line="240" w:before="0" w:after="0"/>
        <w:jc w:val="center"/>
        <w:rPr>
          <w:rFonts w:ascii="Times New Roman" w:hAnsi="Times New Roman" w:eastAsia="Times New Roman"/>
          <w:sz w:val="40"/>
          <w:szCs w:val="40"/>
        </w:rPr>
      </w:pPr>
      <w:r>
        <w:rPr>
          <w:rFonts w:eastAsia="Times New Roman" w:ascii="Times New Roman" w:hAnsi="Times New Roman"/>
          <w:sz w:val="40"/>
          <w:szCs w:val="40"/>
        </w:rPr>
        <w:t>2017. évi munkájáról</w:t>
      </w:r>
    </w:p>
    <w:p>
      <w:pPr>
        <w:pStyle w:val="Normal"/>
        <w:spacing w:lineRule="auto" w:line="240" w:before="0" w:after="0"/>
        <w:jc w:val="center"/>
        <w:rPr>
          <w:rFonts w:ascii="Times New Roman" w:hAnsi="Times New Roman" w:eastAsia="Times New Roman"/>
          <w:sz w:val="40"/>
          <w:szCs w:val="40"/>
        </w:rPr>
      </w:pPr>
      <w:r>
        <w:rPr>
          <w:rFonts w:eastAsia="Times New Roman" w:ascii="Times New Roman" w:hAnsi="Times New Roman"/>
          <w:sz w:val="40"/>
          <w:szCs w:val="40"/>
        </w:rPr>
      </w:r>
    </w:p>
    <w:p>
      <w:pPr>
        <w:pStyle w:val="Normal"/>
        <w:spacing w:lineRule="auto" w:line="240" w:before="0" w:after="0"/>
        <w:rPr>
          <w:rFonts w:eastAsia="Times New Roman"/>
          <w:sz w:val="52"/>
          <w:szCs w:val="52"/>
        </w:rPr>
      </w:pPr>
      <w:r>
        <w:rPr>
          <w:rFonts w:eastAsia="Times New Roman"/>
          <w:sz w:val="52"/>
          <w:szCs w:val="52"/>
        </w:rPr>
      </w:r>
    </w:p>
    <w:p>
      <w:pPr>
        <w:pStyle w:val="Normal"/>
        <w:jc w:val="center"/>
        <w:rPr>
          <w:sz w:val="52"/>
          <w:szCs w:val="52"/>
        </w:rPr>
      </w:pPr>
      <w:r>
        <w:rPr/>
        <w:drawing>
          <wp:inline distT="0" distB="0" distL="0" distR="0">
            <wp:extent cx="3457575" cy="2019935"/>
            <wp:effectExtent l="0" t="0" r="0" b="0"/>
            <wp:docPr id="1" name="Kép 5" descr="Időseknek, Az Idősek Gondozása, Véd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5" descr="Időseknek, Az Idősek Gondozása, Védelem"/>
                    <pic:cNvPicPr>
                      <a:picLocks noChangeAspect="1" noChangeArrowheads="1"/>
                    </pic:cNvPicPr>
                  </pic:nvPicPr>
                  <pic:blipFill>
                    <a:blip r:embed="rId2"/>
                    <a:stretch>
                      <a:fillRect/>
                    </a:stretch>
                  </pic:blipFill>
                  <pic:spPr bwMode="auto">
                    <a:xfrm>
                      <a:off x="0" y="0"/>
                      <a:ext cx="3457575" cy="2019935"/>
                    </a:xfrm>
                    <a:prstGeom prst="rect">
                      <a:avLst/>
                    </a:prstGeom>
                  </pic:spPr>
                </pic:pic>
              </a:graphicData>
            </a:graphic>
          </wp:inline>
        </w:drawing>
      </w:r>
    </w:p>
    <w:p>
      <w:pPr>
        <w:pStyle w:val="Normal"/>
        <w:jc w:val="center"/>
        <w:rPr>
          <w:sz w:val="52"/>
          <w:szCs w:val="52"/>
        </w:rPr>
      </w:pPr>
      <w:r>
        <w:rPr>
          <w:sz w:val="52"/>
          <w:szCs w:val="52"/>
        </w:rPr>
      </w:r>
    </w:p>
    <w:p>
      <w:pPr>
        <w:pStyle w:val="Normal"/>
        <w:tabs>
          <w:tab w:val="left" w:pos="7230" w:leader="none"/>
        </w:tabs>
        <w:rPr>
          <w:sz w:val="26"/>
          <w:szCs w:val="26"/>
        </w:rPr>
      </w:pPr>
      <w:r>
        <w:rPr>
          <w:sz w:val="26"/>
          <w:szCs w:val="26"/>
        </w:rPr>
        <w:t xml:space="preserve">                                                                                                                       </w:t>
      </w:r>
    </w:p>
    <w:p>
      <w:pPr>
        <w:pStyle w:val="Normal"/>
        <w:tabs>
          <w:tab w:val="left" w:pos="7230" w:leader="none"/>
        </w:tabs>
        <w:rPr>
          <w:rFonts w:ascii="Times New Roman" w:hAnsi="Times New Roman"/>
          <w:sz w:val="26"/>
          <w:szCs w:val="26"/>
        </w:rPr>
      </w:pPr>
      <w:r>
        <w:rPr>
          <w:rFonts w:ascii="Times New Roman" w:hAnsi="Times New Roman"/>
          <w:sz w:val="26"/>
          <w:szCs w:val="26"/>
        </w:rPr>
        <w:t xml:space="preserve">                                                                                                                   </w:t>
      </w:r>
    </w:p>
    <w:p>
      <w:pPr>
        <w:pStyle w:val="Normal"/>
        <w:tabs>
          <w:tab w:val="left" w:pos="7230" w:leader="none"/>
        </w:tabs>
        <w:spacing w:lineRule="auto" w:line="240"/>
        <w:rPr>
          <w:rFonts w:ascii="Times New Roman" w:hAnsi="Times New Roman" w:eastAsia="Lucida Sans Unicode"/>
          <w:b/>
          <w:b/>
          <w:sz w:val="32"/>
          <w:szCs w:val="32"/>
          <w:lang w:eastAsia="zh-CN"/>
        </w:rPr>
      </w:pPr>
      <w:r>
        <w:rPr>
          <w:rFonts w:ascii="Times New Roman" w:hAnsi="Times New Roman"/>
          <w:b/>
          <w:sz w:val="26"/>
          <w:szCs w:val="26"/>
        </w:rPr>
        <w:t xml:space="preserve">                                                                           </w:t>
      </w:r>
      <w:r>
        <w:rPr>
          <w:rFonts w:eastAsia="Lucida Sans Unicode" w:ascii="Times New Roman" w:hAnsi="Times New Roman"/>
          <w:b/>
          <w:sz w:val="32"/>
          <w:szCs w:val="32"/>
          <w:lang w:eastAsia="zh-CN"/>
        </w:rPr>
        <w:t>Készítette: Kerekes Józsefné</w:t>
      </w:r>
    </w:p>
    <w:p>
      <w:pPr>
        <w:pStyle w:val="Normal"/>
        <w:tabs>
          <w:tab w:val="left" w:pos="7230" w:leader="none"/>
        </w:tabs>
        <w:spacing w:lineRule="auto" w:line="240"/>
        <w:rPr>
          <w:rFonts w:ascii="Times New Roman" w:hAnsi="Times New Roman"/>
          <w:b/>
          <w:b/>
          <w:sz w:val="26"/>
          <w:szCs w:val="26"/>
        </w:rPr>
      </w:pPr>
      <w:r>
        <w:rPr>
          <w:rFonts w:eastAsia="Lucida Sans Unicode" w:ascii="Times New Roman" w:hAnsi="Times New Roman"/>
          <w:b/>
          <w:sz w:val="32"/>
          <w:szCs w:val="32"/>
          <w:lang w:eastAsia="zh-CN"/>
        </w:rPr>
        <w:t xml:space="preserve">                                                                                   </w:t>
      </w:r>
      <w:r>
        <w:rPr>
          <w:rFonts w:eastAsia="Lucida Sans Unicode" w:ascii="Times New Roman" w:hAnsi="Times New Roman"/>
          <w:b/>
          <w:sz w:val="32"/>
          <w:szCs w:val="32"/>
          <w:lang w:eastAsia="zh-CN"/>
        </w:rPr>
        <w:t>intézményvezető</w:t>
      </w:r>
    </w:p>
    <w:p>
      <w:pPr>
        <w:pStyle w:val="Normal"/>
        <w:widowControl w:val="false"/>
        <w:suppressAutoHyphens w:val="true"/>
        <w:spacing w:lineRule="auto" w:line="240" w:before="0" w:after="0"/>
        <w:jc w:val="center"/>
        <w:textAlignment w:val="baseline"/>
        <w:rPr>
          <w:rFonts w:ascii="Times New Roman" w:hAnsi="Times New Roman" w:eastAsia="Lucida Sans Unicode"/>
          <w:b/>
          <w:b/>
          <w:sz w:val="32"/>
          <w:szCs w:val="32"/>
          <w:lang w:eastAsia="zh-CN"/>
        </w:rPr>
      </w:pPr>
      <w:r>
        <w:rPr>
          <w:rFonts w:eastAsia="Lucida Sans Unicode" w:ascii="Times New Roman" w:hAnsi="Times New Roman"/>
          <w:b/>
          <w:sz w:val="32"/>
          <w:szCs w:val="32"/>
          <w:lang w:eastAsia="zh-CN"/>
        </w:rPr>
        <w:t xml:space="preserve">                                                                                                                                                                 </w:t>
      </w:r>
    </w:p>
    <w:p>
      <w:pPr>
        <w:pStyle w:val="Normal"/>
        <w:widowControl w:val="false"/>
        <w:suppressAutoHyphens w:val="true"/>
        <w:spacing w:lineRule="auto" w:line="240" w:before="0" w:after="0"/>
        <w:jc w:val="right"/>
        <w:textAlignment w:val="baseline"/>
        <w:rPr>
          <w:rFonts w:ascii="Times New Roman" w:hAnsi="Times New Roman" w:eastAsia="Lucida Sans Unicode" w:cs="Tahoma"/>
          <w:b/>
          <w:b/>
          <w:sz w:val="28"/>
          <w:szCs w:val="24"/>
          <w:lang w:eastAsia="zh-CN"/>
        </w:rPr>
      </w:pPr>
      <w:r>
        <w:rPr>
          <w:rFonts w:eastAsia="Lucida Sans Unicode" w:cs="Tahoma" w:ascii="Times New Roman" w:hAnsi="Times New Roman"/>
          <w:b/>
          <w:sz w:val="28"/>
          <w:szCs w:val="24"/>
          <w:lang w:eastAsia="zh-CN"/>
        </w:rPr>
      </w:r>
    </w:p>
    <w:p>
      <w:pPr>
        <w:pStyle w:val="Normal"/>
        <w:spacing w:lineRule="auto" w:line="360" w:before="0" w:after="720"/>
        <w:rPr>
          <w:rFonts w:ascii="Times New Roman" w:hAnsi="Times New Roman"/>
          <w:sz w:val="24"/>
          <w:szCs w:val="24"/>
          <w:lang w:eastAsia="en-US"/>
        </w:rPr>
      </w:pPr>
      <w:r>
        <w:rPr>
          <w:rFonts w:ascii="Times New Roman" w:hAnsi="Times New Roman"/>
          <w:sz w:val="24"/>
          <w:szCs w:val="24"/>
          <w:lang w:eastAsia="en-US"/>
        </w:rPr>
        <w:t>„</w:t>
      </w:r>
      <w:r>
        <w:rPr>
          <w:rFonts w:ascii="Times New Roman" w:hAnsi="Times New Roman"/>
          <w:sz w:val="24"/>
          <w:szCs w:val="24"/>
          <w:lang w:eastAsia="en-US"/>
        </w:rPr>
        <w:t xml:space="preserve">Talán úgy kellene élnünk – hiszen ki tudja, meddig élhetünk? –hogy széppé tegyük a magunk, és lehetőleg a mások életét is mindaddig, amíg ez lehetséges.”    </w:t>
      </w:r>
      <w:r>
        <w:rPr>
          <w:rFonts w:ascii="Times New Roman" w:hAnsi="Times New Roman"/>
          <w:sz w:val="18"/>
          <w:szCs w:val="18"/>
          <w:lang w:eastAsia="en-US"/>
        </w:rPr>
        <w:t xml:space="preserve"> (Lőrinc L. László)</w:t>
      </w:r>
    </w:p>
    <w:p>
      <w:pPr>
        <w:pStyle w:val="Normal"/>
        <w:spacing w:lineRule="auto" w:line="360"/>
        <w:jc w:val="center"/>
        <w:rPr>
          <w:rFonts w:ascii="Times New Roman" w:hAnsi="Times New Roman"/>
          <w:b/>
          <w:b/>
          <w:sz w:val="24"/>
          <w:szCs w:val="24"/>
        </w:rPr>
      </w:pPr>
      <w:r>
        <w:rPr>
          <w:rFonts w:ascii="Times New Roman" w:hAnsi="Times New Roman"/>
          <w:b/>
          <w:sz w:val="24"/>
          <w:szCs w:val="24"/>
        </w:rPr>
        <w:t>Tisztelt Képviselő-testület!</w:t>
      </w:r>
    </w:p>
    <w:p>
      <w:pPr>
        <w:pStyle w:val="Normal"/>
        <w:widowControl w:val="false"/>
        <w:suppressAutoHyphens w:val="true"/>
        <w:spacing w:before="0" w:after="0"/>
        <w:textAlignment w:val="baseline"/>
        <w:rPr>
          <w:rFonts w:ascii="Times New Roman" w:hAnsi="Times New Roman" w:eastAsia="Lucida Sans Unicode" w:cs="Tahoma"/>
          <w:b/>
          <w:b/>
          <w:bCs/>
          <w:sz w:val="24"/>
          <w:szCs w:val="24"/>
          <w:lang w:eastAsia="zh-CN"/>
        </w:rPr>
      </w:pPr>
      <w:r>
        <w:rPr>
          <w:rFonts w:eastAsia="Lucida Sans Unicode" w:cs="Tahoma" w:ascii="Times New Roman" w:hAnsi="Times New Roman"/>
          <w:b/>
          <w:bCs/>
          <w:sz w:val="24"/>
          <w:szCs w:val="24"/>
          <w:lang w:eastAsia="zh-CN"/>
        </w:rPr>
      </w:r>
    </w:p>
    <w:p>
      <w:pPr>
        <w:pStyle w:val="Normal"/>
        <w:widowControl w:val="false"/>
        <w:suppressAutoHyphens w:val="true"/>
        <w:spacing w:before="0" w:afterAutospacing="1"/>
        <w:textAlignment w:val="baseline"/>
        <w:rPr>
          <w:rFonts w:ascii="Times New Roman" w:hAnsi="Times New Roman" w:eastAsia="Lucida Sans Unicode" w:cs="Tahoma"/>
          <w:b/>
          <w:b/>
          <w:bCs/>
          <w:sz w:val="24"/>
          <w:szCs w:val="24"/>
          <w:lang w:eastAsia="zh-CN"/>
        </w:rPr>
      </w:pPr>
      <w:r>
        <w:rPr>
          <w:rFonts w:eastAsia="Lucida Sans Unicode" w:cs="Tahoma" w:ascii="Times New Roman" w:hAnsi="Times New Roman"/>
          <w:b/>
          <w:bCs/>
          <w:sz w:val="24"/>
          <w:szCs w:val="24"/>
          <w:lang w:eastAsia="zh-CN"/>
        </w:rPr>
        <w:t>Általános tájékoztatás:</w:t>
      </w:r>
    </w:p>
    <w:p>
      <w:pPr>
        <w:pStyle w:val="Normal"/>
        <w:spacing w:lineRule="auto" w:line="360" w:before="0" w:after="120"/>
        <w:jc w:val="both"/>
        <w:rPr>
          <w:rFonts w:ascii="Times New Roman" w:hAnsi="Times New Roman"/>
          <w:sz w:val="24"/>
          <w:szCs w:val="24"/>
        </w:rPr>
      </w:pPr>
      <w:r>
        <w:rPr>
          <w:rFonts w:ascii="Times New Roman" w:hAnsi="Times New Roman"/>
          <w:sz w:val="24"/>
          <w:szCs w:val="24"/>
        </w:rPr>
        <w:t xml:space="preserve">A szakmai beszámoló célja, szociális igazgatásról és szociális ellátásokról szóló 1993. évi III. törvény 92/B. (1) bekezdés d.) pontja kimondja, hogy a szociális intézmény fenntartója ellenőrzi és évente egy alkalommal értékeli a szakmai munka eredményességét. </w:t>
      </w:r>
    </w:p>
    <w:p>
      <w:pPr>
        <w:pStyle w:val="Normal"/>
        <w:spacing w:lineRule="auto" w:line="360"/>
        <w:jc w:val="both"/>
        <w:rPr>
          <w:rFonts w:ascii="Times New Roman" w:hAnsi="Times New Roman"/>
          <w:sz w:val="24"/>
          <w:szCs w:val="24"/>
        </w:rPr>
      </w:pPr>
      <w:r>
        <w:rPr>
          <w:rFonts w:ascii="Times New Roman" w:hAnsi="Times New Roman"/>
          <w:sz w:val="24"/>
          <w:szCs w:val="24"/>
        </w:rPr>
        <w:t>A jogszabályban leírtaknak megfelelően az intézmény működéséről szóló szakmai beszámolót a fenntartó részére tájékoztatásul készítem azért, hogy a megfelelő információk alapján értékelhessék az intézmény szakmai munkáját. A beszámoló alapját az elmúlt év során a jogszabályban előírt kötelező nyilvántartások, adminisztrációk adatai, valamint az ellenőrzések eredményei támasztják alá. Az intézmény a szolgáltatásokat az állam által biztosított feladat finanszírozásból, fenntartói hozzájárulásból és térítési díjakból tudja biztosítani.</w:t>
      </w:r>
    </w:p>
    <w:p>
      <w:pPr>
        <w:pStyle w:val="Normal"/>
        <w:spacing w:lineRule="auto" w:line="360"/>
        <w:jc w:val="both"/>
        <w:rPr>
          <w:rFonts w:ascii="Times New Roman" w:hAnsi="Times New Roman"/>
          <w:sz w:val="24"/>
          <w:szCs w:val="24"/>
        </w:rPr>
      </w:pPr>
      <w:r>
        <w:rPr>
          <w:rFonts w:ascii="Times New Roman" w:hAnsi="Times New Roman"/>
          <w:sz w:val="24"/>
          <w:szCs w:val="24"/>
        </w:rPr>
        <w:t>A Gondozási Központ személyes gondoskodást nyújtó szociális alap és szakosított ellátást biztosító, gazdálkodását tekintve önállóan gazdálkodó integrált intézménye Gádoros Nagyközség Önkormányzatának. Gondozási Központ elsődlegesen a szociális igazgatásról és szociális ellátásokról szóló 1993. évi III. törvény, valamint a személyes gondoskodást nyújtó szociális intézmények szakmai feladatairól és működési feltételeiről szóló 1/2000. (I.7.) SzCsM rendelet alapján végzi szociális tevékenységét.</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Az idősek szociális biztonságának megteremtése és garantálása felelőssége a családnak, és a társadalomnak egyaránt. A gondoskodás az idősekről a társadalom számára nem teher, ugyanakkor kötelesség, és egyben befektetés is. A kormány időskori stratégiája aktív, egészséges időskort céloz, azonban fel kell készülni az elöregedés folyamatára. A kormányzat arra törekszik a szociális ellátórendszer átalakításánál, hogy a legrászorultabbak kapjanak fokozott odafigyelést, segítséget, ápolást és gondozást. Ehhez szükséges, hogy rendelkezésre álló források célzottabban és hatékonyabban érjék el a valóban segítségre szorulókat.</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Célunk, hogy mindenkor minőségi szolgáltatást nyújtsunk, ezzel elősegítsük a sikeres működést és az elégedettséget az érdekelt felek részéről. A minőség a szervezeti szabályozásaink alapján történő működést, az ellátottak által támasztott igényeknek/elvárásoknak való megfelelőséget jelenti. Középpontban a gondozottak állnak, az ő és hozzátartozóik igényei és elvárásai az elsődlegesek számunkra. Oly módon építjük a velük való kapcsolatot, hogy tovább erősödjön a bizalom a szervezetünk iránt.</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 xml:space="preserve">A jelen gazdasági változások, a szakmai elvárások nagymértékben meghatározzák a szociális </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 xml:space="preserve">szolgáltatások működőképességét, biztonságát, és kiszámíthatóságát. Az intézményben </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 xml:space="preserve">dolgozó szakemberek az elmúlt években megtanulták és személyes igényükké vált a magas </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 xml:space="preserve">szakmai munkavégzés, az együttműködés, az együttgondolkodás – globálisan - intézményi szinten. </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Nagyon fontos egy ilyen jellegű szolgáltatásban az állandóság, a kiszámíthatóság, az ellátottak egyre nehezebb anyagi, mentális állapotban fordulnak hozzánk, és tőlünk a szociális szférában dolgozóktól várják a segítséget</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Akkor, amikor a szféra dolgozói is bizonytalanok, a jövőjüket tekintve nyugtalanok és lassan az ellátottak/kliensek szintjén élik mindennapjaikat így nagyon nehéz tartalmas segítséget nyújtani egy - egy rászoruló számára. Ezt csak magas hivatástudattal, empátiával rendelkező személyek képesek tartósan magas színvonalon nyújtani hosszú évekig. Más esetben elhagyva a pályát más területen próbálják saját megélhetésüket biztosítani.</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r>
    </w:p>
    <w:p>
      <w:pPr>
        <w:pStyle w:val="Normal"/>
        <w:spacing w:before="0" w:after="0"/>
        <w:rPr>
          <w:rFonts w:ascii="Times New Roman" w:hAnsi="Times New Roman" w:eastAsia="Times New Roman"/>
          <w:b/>
          <w:b/>
          <w:sz w:val="24"/>
          <w:szCs w:val="24"/>
        </w:rPr>
      </w:pPr>
      <w:r>
        <w:rPr>
          <w:rFonts w:eastAsia="Times New Roman" w:ascii="Times New Roman" w:hAnsi="Times New Roman"/>
          <w:b/>
          <w:sz w:val="24"/>
          <w:szCs w:val="24"/>
        </w:rPr>
        <w:t>A Gondozási Központ integrált intézmény, alap és szakosított ellátást nyújt a rászorulók számára.</w:t>
      </w:r>
    </w:p>
    <w:p>
      <w:pPr>
        <w:pStyle w:val="Normal"/>
        <w:spacing w:before="0" w:after="0"/>
        <w:rPr>
          <w:rFonts w:ascii="Times New Roman" w:hAnsi="Times New Roman" w:eastAsia="Times New Roman"/>
          <w:sz w:val="24"/>
          <w:szCs w:val="24"/>
        </w:rPr>
      </w:pPr>
      <w:r>
        <w:rPr>
          <w:rFonts w:eastAsia="Times New Roman" w:ascii="Times New Roman" w:hAnsi="Times New Roman"/>
          <w:sz w:val="24"/>
          <w:szCs w:val="24"/>
        </w:rPr>
      </w:r>
    </w:p>
    <w:p>
      <w:pPr>
        <w:pStyle w:val="Default"/>
        <w:rPr>
          <w:i/>
          <w:i/>
        </w:rPr>
      </w:pPr>
      <w:r>
        <w:rPr>
          <w:rFonts w:eastAsia="Times New Roman"/>
          <w:b/>
          <w:i/>
          <w:color w:val="00000A"/>
        </w:rPr>
        <w:t>Szociális alapszolgáltatások formái</w:t>
      </w:r>
      <w:r>
        <w:rPr>
          <w:rFonts w:eastAsia="Times New Roman"/>
          <w:i/>
          <w:color w:val="00000A"/>
        </w:rPr>
        <w:t>:</w:t>
      </w:r>
    </w:p>
    <w:p>
      <w:pPr>
        <w:pStyle w:val="Default"/>
        <w:numPr>
          <w:ilvl w:val="0"/>
          <w:numId w:val="1"/>
        </w:numPr>
        <w:spacing w:before="0" w:after="268"/>
        <w:rPr/>
      </w:pPr>
      <w:r>
        <w:rPr/>
        <w:t xml:space="preserve">étkeztetés </w:t>
      </w:r>
    </w:p>
    <w:p>
      <w:pPr>
        <w:pStyle w:val="Default"/>
        <w:numPr>
          <w:ilvl w:val="0"/>
          <w:numId w:val="1"/>
        </w:numPr>
        <w:spacing w:before="0" w:after="268"/>
        <w:rPr/>
      </w:pPr>
      <w:r>
        <w:rPr/>
        <w:t xml:space="preserve">házi segítségnyújtás </w:t>
      </w:r>
    </w:p>
    <w:p>
      <w:pPr>
        <w:pStyle w:val="Default"/>
        <w:numPr>
          <w:ilvl w:val="0"/>
          <w:numId w:val="1"/>
        </w:numPr>
        <w:spacing w:before="0" w:after="268"/>
        <w:rPr/>
      </w:pPr>
      <w:r>
        <w:rPr/>
        <w:t xml:space="preserve">nappali ellátás (Idősek Klubja) </w:t>
      </w:r>
    </w:p>
    <w:p>
      <w:pPr>
        <w:pStyle w:val="Default"/>
        <w:spacing w:lineRule="auto" w:line="360"/>
        <w:rPr/>
      </w:pPr>
      <w:r>
        <w:rPr/>
        <w:t xml:space="preserve">Az alapellátás ellátottjai a Gádoros nagyközség közigazgatási területén lakóhellyel és tartózkodási hellyel rendelkező személyek. Szolgáltatásaink önkéntesen vehetők igénybe. </w:t>
      </w:r>
    </w:p>
    <w:p>
      <w:pPr>
        <w:pStyle w:val="Default"/>
        <w:spacing w:lineRule="auto" w:line="360"/>
        <w:rPr>
          <w:bCs/>
          <w:iCs/>
        </w:rPr>
      </w:pPr>
      <w:r>
        <w:rPr>
          <w:bCs/>
          <w:iCs/>
        </w:rPr>
      </w:r>
    </w:p>
    <w:p>
      <w:pPr>
        <w:pStyle w:val="Default"/>
        <w:rPr>
          <w:bCs/>
          <w:i/>
          <w:i/>
          <w:iCs/>
        </w:rPr>
      </w:pPr>
      <w:r>
        <w:rPr>
          <w:b/>
          <w:bCs/>
          <w:i/>
          <w:iCs/>
        </w:rPr>
        <w:t>Szakosított ellátás</w:t>
      </w:r>
      <w:r>
        <w:rPr>
          <w:bCs/>
          <w:i/>
          <w:iCs/>
        </w:rPr>
        <w:t xml:space="preserve">: </w:t>
      </w:r>
    </w:p>
    <w:p>
      <w:pPr>
        <w:pStyle w:val="Default"/>
        <w:rPr/>
      </w:pPr>
      <w:r>
        <w:rPr/>
      </w:r>
    </w:p>
    <w:p>
      <w:pPr>
        <w:pStyle w:val="Default"/>
        <w:numPr>
          <w:ilvl w:val="0"/>
          <w:numId w:val="4"/>
        </w:numPr>
        <w:rPr/>
      </w:pPr>
      <w:r>
        <w:rPr/>
        <w:t xml:space="preserve">időskorúak tartós bentlakásos ellátása </w:t>
      </w:r>
    </w:p>
    <w:p>
      <w:pPr>
        <w:pStyle w:val="Default"/>
        <w:rPr/>
      </w:pPr>
      <w:r>
        <w:rPr/>
      </w:r>
    </w:p>
    <w:p>
      <w:pPr>
        <w:pStyle w:val="Default"/>
        <w:numPr>
          <w:ilvl w:val="0"/>
          <w:numId w:val="4"/>
        </w:numPr>
        <w:rPr/>
      </w:pPr>
      <w:r>
        <w:rPr/>
        <w:t>demens betegek tartós bentlakásos ellátása</w:t>
      </w:r>
    </w:p>
    <w:p>
      <w:pPr>
        <w:pStyle w:val="Default"/>
        <w:spacing w:lineRule="auto" w:line="360"/>
        <w:rPr/>
      </w:pPr>
      <w:r>
        <w:rPr/>
        <w:t xml:space="preserve">Szakosított ellátást Magyarország közigazgatási területén lakóhellyel és tartózkodási hellyel rendelkező személyek vehetik igénybe. Az ellátások </w:t>
      </w:r>
      <w:r>
        <w:rPr>
          <w:bCs/>
        </w:rPr>
        <w:t>igénybevétele önkéntes</w:t>
      </w:r>
      <w:r>
        <w:rPr/>
        <w:t>, az igénylő vagy törvényes képviselője kérelmére történik.</w:t>
      </w:r>
    </w:p>
    <w:p>
      <w:pPr>
        <w:pStyle w:val="Default"/>
        <w:spacing w:lineRule="auto" w:line="360"/>
        <w:rPr>
          <w:b/>
          <w:b/>
        </w:rPr>
      </w:pPr>
      <w:r>
        <w:rPr/>
        <w:t xml:space="preserve">A Gondozási Központhoz tartozik a </w:t>
      </w:r>
      <w:r>
        <w:rPr>
          <w:b/>
        </w:rPr>
        <w:t>Család és Nővédelmi egészségügyi gondozás.</w:t>
      </w:r>
    </w:p>
    <w:p>
      <w:pPr>
        <w:pStyle w:val="Default"/>
        <w:spacing w:lineRule="auto" w:line="360"/>
        <w:jc w:val="center"/>
        <w:rPr>
          <w:rFonts w:eastAsia="Times New Roman"/>
          <w:b/>
          <w:b/>
        </w:rPr>
      </w:pPr>
      <w:bookmarkStart w:id="0" w:name="_Toc387922070"/>
      <w:bookmarkStart w:id="1" w:name="_Toc387922070"/>
      <w:r>
        <w:rPr>
          <w:rFonts w:eastAsia="Times New Roman"/>
          <w:b/>
        </w:rPr>
      </w:r>
    </w:p>
    <w:p>
      <w:pPr>
        <w:pStyle w:val="Default"/>
        <w:spacing w:lineRule="auto" w:line="360"/>
        <w:jc w:val="center"/>
        <w:rPr>
          <w:b/>
          <w:b/>
        </w:rPr>
      </w:pPr>
      <w:bookmarkStart w:id="2" w:name="_Toc387922070"/>
      <w:bookmarkEnd w:id="2"/>
      <w:r>
        <w:rPr>
          <w:rFonts w:eastAsia="Times New Roman"/>
          <w:b/>
        </w:rPr>
        <w:t>Az egyes szolgáltatásokra vonatkozó szakmai feladatok megvalósulása</w:t>
      </w:r>
    </w:p>
    <w:p>
      <w:pPr>
        <w:pStyle w:val="Normal"/>
        <w:spacing w:before="0" w:after="0"/>
        <w:rPr>
          <w:rFonts w:ascii="Times New Roman" w:hAnsi="Times New Roman" w:eastAsia="Times New Roman"/>
          <w:b/>
          <w:b/>
          <w:sz w:val="26"/>
          <w:szCs w:val="26"/>
        </w:rPr>
      </w:pPr>
      <w:r>
        <w:rPr>
          <w:rFonts w:eastAsia="Times New Roman" w:ascii="Times New Roman" w:hAnsi="Times New Roman"/>
          <w:b/>
          <w:sz w:val="26"/>
          <w:szCs w:val="26"/>
        </w:rPr>
      </w:r>
    </w:p>
    <w:p>
      <w:pPr>
        <w:pStyle w:val="Normal"/>
        <w:spacing w:before="0" w:after="120"/>
        <w:rPr>
          <w:rFonts w:ascii="Times New Roman" w:hAnsi="Times New Roman" w:eastAsia="Times New Roman"/>
          <w:sz w:val="24"/>
          <w:szCs w:val="24"/>
        </w:rPr>
      </w:pPr>
      <w:r>
        <w:rPr>
          <w:rFonts w:eastAsia="Times New Roman" w:ascii="Times New Roman" w:hAnsi="Times New Roman"/>
          <w:b/>
          <w:sz w:val="24"/>
          <w:szCs w:val="24"/>
        </w:rPr>
        <w:t>Alapellátás:</w:t>
      </w:r>
    </w:p>
    <w:p>
      <w:pPr>
        <w:pStyle w:val="Normal"/>
        <w:spacing w:before="0" w:after="0"/>
        <w:rPr>
          <w:rFonts w:ascii="Times New Roman" w:hAnsi="Times New Roman" w:eastAsia="Times New Roman"/>
          <w:sz w:val="24"/>
          <w:szCs w:val="24"/>
          <w:u w:val="single"/>
        </w:rPr>
      </w:pPr>
      <w:r>
        <w:rPr>
          <w:rFonts w:eastAsia="Times New Roman" w:ascii="Times New Roman" w:hAnsi="Times New Roman"/>
          <w:sz w:val="24"/>
          <w:szCs w:val="24"/>
          <w:u w:val="single"/>
        </w:rPr>
        <w:t>Étkeztetés</w:t>
      </w:r>
    </w:p>
    <w:p>
      <w:pPr>
        <w:pStyle w:val="Normal"/>
        <w:spacing w:lineRule="auto" w:line="360" w:before="0" w:after="0"/>
        <w:jc w:val="both"/>
        <w:rPr>
          <w:rFonts w:ascii="Times New Roman" w:hAnsi="Times New Roman"/>
          <w:sz w:val="24"/>
          <w:szCs w:val="24"/>
        </w:rPr>
      </w:pPr>
      <w:r>
        <w:rPr>
          <w:rFonts w:eastAsia="Times New Roman" w:ascii="Times New Roman" w:hAnsi="Times New Roman"/>
          <w:sz w:val="24"/>
          <w:szCs w:val="24"/>
        </w:rPr>
        <w:t xml:space="preserve">A szociális törvény 62. § (1) és (2) bekezdése rendelkezik az étkeztetésről. Eszerint a települési önkormányzatnak gondoskodni kell azoknak a szociális rászorulóknak, a legalább napi egyszeri meleg étkezéséről, akik azt önmaguknak, illetve eltartottjaik részére tartós, vagy átmeneti jelleggel nem képesek. </w:t>
      </w:r>
      <w:r>
        <w:rPr>
          <w:rFonts w:ascii="Times New Roman" w:hAnsi="Times New Roman"/>
          <w:sz w:val="24"/>
          <w:szCs w:val="24"/>
        </w:rPr>
        <w:t>Különösen koruk, egészségi állapotuk, fogyatékosságuk, pszichiátriai betegségük, szenvedélybetegségük, vagy hajléktalanságuk miatt. Az étkeztetés keretében főétkezésként legalább napi egyszeri meleg ételt kell biztosítani. Ha az étkezésben részesülő személy egészségi állapota indokolja, a szakorvos javaslatára - a népkonyha kivételével - az ellátást igénybe vevő részére diétás étkeztetést kell biztosítani.</w:t>
      </w:r>
    </w:p>
    <w:p>
      <w:pPr>
        <w:pStyle w:val="Default"/>
        <w:spacing w:lineRule="auto" w:line="360"/>
        <w:jc w:val="both"/>
        <w:rPr/>
      </w:pPr>
      <w:r>
        <w:rPr/>
        <w:t>Az étkezés igénybevételének feltételét a helyi szociális rendelet szabályozza. A fenntartó a Fejes Bt Gádoros, Jókai u. 5. szám alatti vállalkozóval kötött szerződés keretében biztosítja a szociális étkeztetést.</w:t>
      </w:r>
    </w:p>
    <w:p>
      <w:pPr>
        <w:pStyle w:val="Default"/>
        <w:rPr>
          <w:color w:val="00000A"/>
        </w:rPr>
      </w:pPr>
      <w:r>
        <w:rPr>
          <w:color w:val="00000A"/>
        </w:rPr>
      </w:r>
    </w:p>
    <w:p>
      <w:pPr>
        <w:pStyle w:val="Default"/>
        <w:rPr>
          <w:sz w:val="23"/>
          <w:szCs w:val="23"/>
        </w:rPr>
      </w:pPr>
      <w:r>
        <w:rPr>
          <w:sz w:val="23"/>
          <w:szCs w:val="23"/>
        </w:rPr>
        <w:t xml:space="preserve">Az étkezés a lakosság szükségletei szerint van kialakítva: </w:t>
      </w:r>
    </w:p>
    <w:p>
      <w:pPr>
        <w:pStyle w:val="Default"/>
        <w:spacing w:lineRule="auto" w:line="360"/>
        <w:rPr/>
      </w:pPr>
      <w:r>
        <w:rPr/>
      </w:r>
    </w:p>
    <w:p>
      <w:pPr>
        <w:pStyle w:val="Default"/>
        <w:numPr>
          <w:ilvl w:val="0"/>
          <w:numId w:val="2"/>
        </w:numPr>
        <w:spacing w:lineRule="auto" w:line="360"/>
        <w:rPr/>
      </w:pPr>
      <w:r>
        <w:rPr>
          <w:b/>
          <w:bCs/>
          <w:i/>
          <w:iCs/>
        </w:rPr>
        <w:t xml:space="preserve">helyben történő elfogyasztás: </w:t>
      </w:r>
      <w:r>
        <w:rPr/>
        <w:t xml:space="preserve">az erre a célra kialakított étkezőhelyiségben van mód. Ezt kulturált, barátságos környezetben, megterített asztalnál tehetik meg. Az étkezéshez minden feltétel (étkészlet és evőeszköz, kézmosási lehetőség) biztosított. </w:t>
      </w:r>
    </w:p>
    <w:p>
      <w:pPr>
        <w:pStyle w:val="Default"/>
        <w:numPr>
          <w:ilvl w:val="0"/>
          <w:numId w:val="2"/>
        </w:numPr>
        <w:spacing w:lineRule="auto" w:line="360"/>
        <w:rPr/>
      </w:pPr>
      <w:r>
        <w:rPr>
          <w:b/>
          <w:bCs/>
          <w:i/>
          <w:iCs/>
        </w:rPr>
        <w:t xml:space="preserve">elvitel: </w:t>
      </w:r>
      <w:r>
        <w:rPr/>
        <w:t xml:space="preserve">ebben az esetben az ebédet az igénybevevő viszi el a konyháról, ételhordót saját maga biztosítja </w:t>
      </w:r>
    </w:p>
    <w:p>
      <w:pPr>
        <w:pStyle w:val="Default"/>
        <w:numPr>
          <w:ilvl w:val="0"/>
          <w:numId w:val="2"/>
        </w:numPr>
        <w:spacing w:lineRule="auto" w:line="276"/>
        <w:jc w:val="both"/>
        <w:rPr/>
      </w:pPr>
      <w:r>
        <w:rPr>
          <w:b/>
          <w:bCs/>
          <w:i/>
          <w:iCs/>
        </w:rPr>
        <w:t xml:space="preserve">kiszállítással: </w:t>
      </w:r>
      <w:r>
        <w:rPr>
          <w:rFonts w:eastAsia="Times New Roman"/>
        </w:rPr>
        <w:t>Házhozszállítást elsősorban az önellátó képesség csökkenése, megromlott egészségi állapot, vagy idős kor miatt kérik az igénybe vevők</w:t>
      </w:r>
      <w:r>
        <w:rPr/>
        <w:t xml:space="preserve"> Az étkezőnek biztosítani kell 2 db ételhordót, valamint lehetővé kell tenni az ebédszállító számára az étel átvevését és az üres ételhordó átadását. </w:t>
      </w:r>
    </w:p>
    <w:p>
      <w:pPr>
        <w:pStyle w:val="Default"/>
        <w:spacing w:lineRule="auto" w:line="276"/>
        <w:ind w:left="720" w:hanging="0"/>
        <w:jc w:val="both"/>
        <w:rPr/>
      </w:pPr>
      <w:r>
        <w:rPr/>
      </w:r>
    </w:p>
    <w:p>
      <w:pPr>
        <w:pStyle w:val="Default"/>
        <w:spacing w:lineRule="auto" w:line="360"/>
        <w:jc w:val="both"/>
        <w:rPr/>
      </w:pPr>
      <w:r>
        <w:rPr>
          <w:rFonts w:eastAsia="Times New Roman"/>
        </w:rPr>
        <w:t xml:space="preserve">A helyben fogyasztásnál, illetve elvitelnél „A” és „B” menü közt lehet választani, kiszállításnál „A” menü lehetséges.  </w:t>
      </w:r>
      <w:r>
        <w:rPr/>
        <w:t>Az intézmény a kiszállítást a szociális gondozókkal látja el.</w:t>
      </w:r>
    </w:p>
    <w:p>
      <w:pPr>
        <w:pStyle w:val="Default"/>
        <w:spacing w:lineRule="auto" w:line="360"/>
        <w:jc w:val="both"/>
        <w:rPr>
          <w:rFonts w:eastAsia="Lucida Sans Unicode" w:cs="Tahoma"/>
          <w:color w:val="000000" w:themeColor="text1"/>
          <w:lang w:eastAsia="zh-CN"/>
        </w:rPr>
      </w:pPr>
      <w:r>
        <w:rPr>
          <w:rFonts w:eastAsia="Lucida Sans Unicode" w:cs="Tahoma"/>
          <w:b/>
          <w:bCs/>
          <w:color w:val="000000" w:themeColor="text1"/>
          <w:lang w:eastAsia="zh-CN"/>
        </w:rPr>
        <w:t xml:space="preserve">Étkeztetésben jelenleg részesül: 74 fő   </w:t>
      </w:r>
    </w:p>
    <w:p>
      <w:pPr>
        <w:pStyle w:val="Standard"/>
        <w:spacing w:lineRule="auto" w:line="360"/>
        <w:rPr>
          <w:color w:val="000000" w:themeColor="text1"/>
        </w:rPr>
      </w:pPr>
      <w:r>
        <w:rPr>
          <w:color w:val="000000" w:themeColor="text1"/>
        </w:rPr>
        <w:t>2016. év átlag ellátotti létszám:     46</w:t>
      </w:r>
      <w:r>
        <w:rPr>
          <w:b/>
          <w:bCs/>
          <w:color w:val="000000" w:themeColor="text1"/>
        </w:rPr>
        <w:t xml:space="preserve"> </w:t>
      </w:r>
      <w:r>
        <w:rPr>
          <w:bCs/>
          <w:color w:val="000000" w:themeColor="text1"/>
        </w:rPr>
        <w:t>fő</w:t>
      </w:r>
    </w:p>
    <w:p>
      <w:pPr>
        <w:pStyle w:val="Standard"/>
        <w:spacing w:lineRule="auto" w:line="360"/>
        <w:rPr>
          <w:b/>
          <w:b/>
        </w:rPr>
      </w:pPr>
      <w:r>
        <w:rPr>
          <w:b/>
        </w:rPr>
        <w:t xml:space="preserve">Térítés díj: </w:t>
      </w:r>
    </w:p>
    <w:p>
      <w:pPr>
        <w:pStyle w:val="Standard"/>
        <w:numPr>
          <w:ilvl w:val="0"/>
          <w:numId w:val="17"/>
        </w:numPr>
        <w:spacing w:lineRule="auto" w:line="360"/>
        <w:rPr/>
      </w:pPr>
      <w:r>
        <w:rPr/>
        <w:t xml:space="preserve">elvitellel: 495 Ft/adag, </w:t>
      </w:r>
    </w:p>
    <w:p>
      <w:pPr>
        <w:pStyle w:val="Standard"/>
        <w:numPr>
          <w:ilvl w:val="0"/>
          <w:numId w:val="17"/>
        </w:numPr>
        <w:spacing w:lineRule="auto" w:line="360"/>
        <w:rPr/>
      </w:pPr>
      <w:r>
        <w:rPr/>
        <w:t xml:space="preserve">kiszállítással:705 Ft/adag, </w:t>
      </w:r>
    </w:p>
    <w:p>
      <w:pPr>
        <w:pStyle w:val="Standard"/>
        <w:numPr>
          <w:ilvl w:val="0"/>
          <w:numId w:val="17"/>
        </w:numPr>
        <w:spacing w:lineRule="auto" w:line="360"/>
        <w:rPr>
          <w:b/>
          <w:b/>
        </w:rPr>
      </w:pPr>
      <w:r>
        <w:rPr/>
        <w:t>helyben fogyasztással: 660Ft/adag</w:t>
      </w:r>
    </w:p>
    <w:p>
      <w:pPr>
        <w:pStyle w:val="Standard"/>
        <w:spacing w:lineRule="auto" w:line="360"/>
        <w:rPr/>
      </w:pPr>
      <w:r>
        <w:rPr>
          <w:b/>
        </w:rPr>
        <w:t>Térítési díjak alakulása</w:t>
      </w:r>
      <w:r>
        <w:rPr/>
        <w:t xml:space="preserve"> 2016. december 31-én:</w:t>
      </w:r>
    </w:p>
    <w:p>
      <w:pPr>
        <w:pStyle w:val="Normal"/>
        <w:spacing w:lineRule="auto" w:line="360" w:before="0" w:after="0"/>
        <w:rPr>
          <w:rFonts w:ascii="Times New Roman" w:hAnsi="Times New Roman" w:eastAsia="Times New Roman"/>
          <w:sz w:val="24"/>
          <w:szCs w:val="24"/>
        </w:rPr>
      </w:pPr>
      <w:r>
        <w:rPr>
          <w:rFonts w:eastAsia="Times New Roman" w:ascii="Times New Roman" w:hAnsi="Times New Roman"/>
          <w:sz w:val="24"/>
          <w:szCs w:val="24"/>
        </w:rPr>
        <w:t>Beszedett térítés díj összege: 5.850.000 Ft,-</w:t>
      </w:r>
    </w:p>
    <w:p>
      <w:pPr>
        <w:pStyle w:val="Standard"/>
        <w:spacing w:lineRule="auto" w:line="360"/>
        <w:jc w:val="both"/>
        <w:rPr>
          <w:rFonts w:eastAsia="Times New Roman" w:cs="Times New Roman"/>
          <w:color w:val="000000" w:themeColor="text1"/>
        </w:rPr>
      </w:pPr>
      <w:r>
        <w:rPr>
          <w:color w:val="000000" w:themeColor="text1"/>
        </w:rPr>
        <w:t xml:space="preserve">Térítési díj hátralék: </w:t>
      </w:r>
      <w:r>
        <w:rPr>
          <w:bCs/>
          <w:color w:val="000000" w:themeColor="text1"/>
        </w:rPr>
        <w:t>69.680Ft,-</w:t>
      </w:r>
    </w:p>
    <w:p>
      <w:pPr>
        <w:pStyle w:val="Standard"/>
        <w:spacing w:lineRule="auto" w:line="360"/>
        <w:jc w:val="both"/>
        <w:rPr>
          <w:rFonts w:eastAsia="Times New Roman" w:cs="Times New Roman"/>
          <w:color w:val="000000" w:themeColor="text1"/>
        </w:rPr>
      </w:pPr>
      <w:r>
        <w:rPr>
          <w:rFonts w:eastAsia="Times New Roman" w:cs="Times New Roman"/>
          <w:color w:val="000000" w:themeColor="text1"/>
        </w:rPr>
        <w:t>Támogatás összege: 535.385Ft,-</w:t>
      </w:r>
    </w:p>
    <w:p>
      <w:pPr>
        <w:pStyle w:val="Standard"/>
        <w:spacing w:lineRule="auto" w:line="360"/>
        <w:jc w:val="both"/>
        <w:rPr>
          <w:rFonts w:eastAsia="Times New Roman" w:cs="Times New Roman"/>
          <w:color w:val="FF0000"/>
        </w:rPr>
      </w:pPr>
      <w:r>
        <w:rPr>
          <w:rFonts w:eastAsia="Times New Roman" w:cs="Times New Roman"/>
          <w:color w:val="FF0000"/>
        </w:rPr>
      </w:r>
    </w:p>
    <w:p>
      <w:pPr>
        <w:pStyle w:val="Standard"/>
        <w:spacing w:lineRule="auto" w:line="360"/>
        <w:jc w:val="both"/>
        <w:rPr>
          <w:rFonts w:eastAsia="Times New Roman" w:cs="Times New Roman"/>
          <w:color w:val="000000" w:themeColor="text1"/>
        </w:rPr>
      </w:pPr>
      <w:r>
        <w:rPr>
          <w:color w:val="000000" w:themeColor="text1"/>
        </w:rPr>
        <w:t>Az alábbi táblázat szemlélteti az étkeztetés szolgáltatásának igénylési létszámát.</w:t>
      </w:r>
    </w:p>
    <w:p>
      <w:pPr>
        <w:pStyle w:val="Normal"/>
        <w:widowControl w:val="false"/>
        <w:suppressAutoHyphens w:val="true"/>
        <w:spacing w:before="0" w:after="0"/>
        <w:textAlignment w:val="baseline"/>
        <w:rPr>
          <w:rFonts w:ascii="Times New Roman" w:hAnsi="Times New Roman" w:eastAsia="Lucida Sans Unicode" w:cs="Tahoma"/>
          <w:color w:val="FF0000"/>
          <w:sz w:val="24"/>
          <w:szCs w:val="24"/>
          <w:lang w:eastAsia="zh-CN"/>
        </w:rPr>
      </w:pPr>
      <w:r>
        <w:rPr>
          <w:rFonts w:eastAsia="Lucida Sans Unicode" w:cs="Tahoma" w:ascii="Times New Roman" w:hAnsi="Times New Roman"/>
          <w:color w:val="FF0000"/>
          <w:sz w:val="24"/>
          <w:szCs w:val="24"/>
          <w:lang w:eastAsia="zh-CN"/>
        </w:rPr>
      </w:r>
    </w:p>
    <w:tbl>
      <w:tblPr>
        <w:tblW w:w="9806" w:type="dxa"/>
        <w:jc w:val="left"/>
        <w:tblInd w:w="-132" w:type="dxa"/>
        <w:tblBorders>
          <w:top w:val="single" w:sz="2" w:space="0" w:color="000001"/>
          <w:left w:val="single" w:sz="2" w:space="0" w:color="000001"/>
          <w:bottom w:val="single" w:sz="2" w:space="0" w:color="000001"/>
          <w:insideH w:val="single" w:sz="2" w:space="0" w:color="000001"/>
        </w:tblBorders>
        <w:tblCellMar>
          <w:top w:w="0" w:type="dxa"/>
          <w:left w:w="7" w:type="dxa"/>
          <w:bottom w:w="0" w:type="dxa"/>
          <w:right w:w="10" w:type="dxa"/>
        </w:tblCellMar>
        <w:tblLook w:firstRow="0" w:noVBand="0" w:lastRow="0" w:firstColumn="0" w:lastColumn="0" w:noHBand="0" w:val="0000"/>
      </w:tblPr>
      <w:tblGrid>
        <w:gridCol w:w="4760"/>
        <w:gridCol w:w="5045"/>
      </w:tblGrid>
      <w:tr>
        <w:trPr/>
        <w:tc>
          <w:tcPr>
            <w:tcW w:w="4760" w:type="dxa"/>
            <w:tcBorders>
              <w:top w:val="single" w:sz="2" w:space="0" w:color="000001"/>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b/>
                <w:bCs/>
                <w:color w:val="000000" w:themeColor="text1"/>
                <w:sz w:val="24"/>
                <w:szCs w:val="24"/>
                <w:lang w:eastAsia="zh-CN"/>
              </w:rPr>
              <w:t>Megnevezés</w:t>
            </w:r>
          </w:p>
        </w:tc>
        <w:tc>
          <w:tcPr>
            <w:tcW w:w="50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7" w:type="dxa"/>
            </w:tcMar>
            <w:vAlign w:val="cente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b/>
                <w:bCs/>
                <w:color w:val="000000" w:themeColor="text1"/>
                <w:sz w:val="24"/>
                <w:szCs w:val="24"/>
                <w:lang w:eastAsia="zh-CN"/>
              </w:rPr>
              <w:t>Étkeztetésben részesül (fő)</w:t>
            </w:r>
          </w:p>
        </w:tc>
      </w:tr>
      <w:tr>
        <w:trPr/>
        <w:tc>
          <w:tcPr>
            <w:tcW w:w="4760" w:type="dxa"/>
            <w:tcBorders>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napToGrid w:val="false"/>
              <w:spacing w:before="0" w:after="0"/>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2016. 12. 31-én</w:t>
            </w:r>
          </w:p>
        </w:tc>
        <w:tc>
          <w:tcPr>
            <w:tcW w:w="5045" w:type="dxa"/>
            <w:tcBorders>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65</w:t>
            </w:r>
          </w:p>
        </w:tc>
      </w:tr>
      <w:tr>
        <w:trPr/>
        <w:tc>
          <w:tcPr>
            <w:tcW w:w="4760" w:type="dxa"/>
            <w:tcBorders>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napToGrid w:val="false"/>
              <w:spacing w:before="0" w:after="0"/>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Tárgyév folyamán ellátásba vettek</w:t>
            </w:r>
          </w:p>
        </w:tc>
        <w:tc>
          <w:tcPr>
            <w:tcW w:w="5045" w:type="dxa"/>
            <w:tcBorders>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24</w:t>
            </w:r>
          </w:p>
        </w:tc>
      </w:tr>
      <w:tr>
        <w:trPr/>
        <w:tc>
          <w:tcPr>
            <w:tcW w:w="4760" w:type="dxa"/>
            <w:tcBorders>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napToGrid w:val="false"/>
              <w:spacing w:before="0" w:after="0"/>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Tárgyév folyamán ellátásból kikerültek</w:t>
            </w:r>
          </w:p>
        </w:tc>
        <w:tc>
          <w:tcPr>
            <w:tcW w:w="5045" w:type="dxa"/>
            <w:tcBorders>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18</w:t>
            </w:r>
          </w:p>
        </w:tc>
      </w:tr>
      <w:tr>
        <w:trPr/>
        <w:tc>
          <w:tcPr>
            <w:tcW w:w="4760" w:type="dxa"/>
            <w:tcBorders>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napToGrid w:val="false"/>
              <w:spacing w:before="0" w:after="0"/>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2017. 12. 31-én</w:t>
            </w:r>
          </w:p>
        </w:tc>
        <w:tc>
          <w:tcPr>
            <w:tcW w:w="5045" w:type="dxa"/>
            <w:tcBorders>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71</w:t>
            </w:r>
          </w:p>
        </w:tc>
      </w:tr>
    </w:tbl>
    <w:p>
      <w:pPr>
        <w:pStyle w:val="Normal"/>
        <w:widowControl w:val="false"/>
        <w:suppressAutoHyphens w:val="true"/>
        <w:spacing w:before="0" w:after="0"/>
        <w:textAlignment w:val="baseline"/>
        <w:rPr>
          <w:rFonts w:ascii="Times New Roman" w:hAnsi="Times New Roman" w:eastAsia="Lucida Sans Unicode" w:cs="Tahoma"/>
          <w:color w:val="FF0000"/>
          <w:sz w:val="24"/>
          <w:szCs w:val="24"/>
          <w:lang w:eastAsia="zh-CN"/>
        </w:rPr>
      </w:pPr>
      <w:r>
        <w:rPr>
          <w:rFonts w:eastAsia="Lucida Sans Unicode" w:cs="Tahoma" w:ascii="Times New Roman" w:hAnsi="Times New Roman"/>
          <w:color w:val="FF0000"/>
          <w:sz w:val="24"/>
          <w:szCs w:val="24"/>
          <w:lang w:eastAsia="zh-CN"/>
        </w:rPr>
      </w:r>
    </w:p>
    <w:p>
      <w:pPr>
        <w:pStyle w:val="Standard"/>
        <w:spacing w:lineRule="auto" w:line="360"/>
        <w:jc w:val="both"/>
        <w:rPr>
          <w:rFonts w:eastAsia="Times New Roman" w:cs="Times New Roman"/>
          <w:color w:val="000000" w:themeColor="text1"/>
        </w:rPr>
      </w:pPr>
      <w:r>
        <w:rPr>
          <w:color w:val="000000" w:themeColor="text1"/>
        </w:rPr>
        <w:t xml:space="preserve">Az alábbi táblázat szemlélteti az étkeztetés elfogyasztásának módját: </w:t>
      </w:r>
    </w:p>
    <w:p>
      <w:pPr>
        <w:pStyle w:val="Normal"/>
        <w:widowControl w:val="false"/>
        <w:suppressAutoHyphens w:val="true"/>
        <w:spacing w:before="0" w:after="0"/>
        <w:jc w:val="center"/>
        <w:textAlignment w:val="baseline"/>
        <w:rPr>
          <w:rFonts w:ascii="Times New Roman" w:hAnsi="Times New Roman" w:eastAsia="Lucida Sans Unicode" w:cs="Tahoma"/>
          <w:color w:val="FF0000"/>
          <w:sz w:val="24"/>
          <w:szCs w:val="24"/>
          <w:lang w:eastAsia="zh-CN"/>
        </w:rPr>
      </w:pPr>
      <w:r>
        <w:rPr>
          <w:rFonts w:eastAsia="Lucida Sans Unicode" w:cs="Tahoma" w:ascii="Times New Roman" w:hAnsi="Times New Roman"/>
          <w:color w:val="FF0000"/>
          <w:sz w:val="24"/>
          <w:szCs w:val="24"/>
          <w:lang w:eastAsia="zh-CN"/>
        </w:rPr>
      </w:r>
    </w:p>
    <w:tbl>
      <w:tblPr>
        <w:tblStyle w:val="Rcsostblzat"/>
        <w:tblW w:w="9747" w:type="dxa"/>
        <w:jc w:val="left"/>
        <w:tblInd w:w="0" w:type="dxa"/>
        <w:tblCellMar>
          <w:top w:w="0" w:type="dxa"/>
          <w:left w:w="108" w:type="dxa"/>
          <w:bottom w:w="0" w:type="dxa"/>
          <w:right w:w="108" w:type="dxa"/>
        </w:tblCellMar>
        <w:tblLook w:firstRow="1" w:noVBand="1" w:lastRow="0" w:firstColumn="1" w:lastColumn="0" w:noHBand="0" w:val="04a0"/>
      </w:tblPr>
      <w:tblGrid>
        <w:gridCol w:w="1773"/>
        <w:gridCol w:w="2016"/>
        <w:gridCol w:w="1989"/>
        <w:gridCol w:w="1984"/>
        <w:gridCol w:w="1985"/>
      </w:tblGrid>
      <w:tr>
        <w:trPr/>
        <w:tc>
          <w:tcPr>
            <w:tcW w:w="1773" w:type="dxa"/>
            <w:vMerge w:val="restart"/>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2017.év</w:t>
            </w:r>
          </w:p>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hónap</w:t>
            </w:r>
          </w:p>
        </w:tc>
        <w:tc>
          <w:tcPr>
            <w:tcW w:w="7974" w:type="dxa"/>
            <w:gridSpan w:val="4"/>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Étkezés</w:t>
            </w:r>
          </w:p>
        </w:tc>
      </w:tr>
      <w:tr>
        <w:trPr/>
        <w:tc>
          <w:tcPr>
            <w:tcW w:w="1773" w:type="dxa"/>
            <w:vMerge w:val="continue"/>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r>
          </w:p>
        </w:tc>
        <w:tc>
          <w:tcPr>
            <w:tcW w:w="2016"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Helyben fogyasztással/</w:t>
            </w:r>
          </w:p>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adag</w:t>
            </w:r>
          </w:p>
        </w:tc>
        <w:tc>
          <w:tcPr>
            <w:tcW w:w="1989"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Elvitellel/adag</w:t>
            </w:r>
          </w:p>
        </w:tc>
        <w:tc>
          <w:tcPr>
            <w:tcW w:w="1984"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Kiszállítással/</w:t>
            </w:r>
          </w:p>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adag</w:t>
            </w:r>
          </w:p>
        </w:tc>
        <w:tc>
          <w:tcPr>
            <w:tcW w:w="1985"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Összesen</w:t>
            </w:r>
          </w:p>
        </w:tc>
      </w:tr>
      <w:tr>
        <w:trPr/>
        <w:tc>
          <w:tcPr>
            <w:tcW w:w="177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Január</w:t>
            </w:r>
          </w:p>
        </w:tc>
        <w:tc>
          <w:tcPr>
            <w:tcW w:w="2016"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44</w:t>
            </w:r>
          </w:p>
        </w:tc>
        <w:tc>
          <w:tcPr>
            <w:tcW w:w="1989"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323</w:t>
            </w:r>
          </w:p>
        </w:tc>
        <w:tc>
          <w:tcPr>
            <w:tcW w:w="1984"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507</w:t>
            </w:r>
          </w:p>
        </w:tc>
        <w:tc>
          <w:tcPr>
            <w:tcW w:w="1985"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874</w:t>
            </w:r>
          </w:p>
        </w:tc>
      </w:tr>
      <w:tr>
        <w:trPr/>
        <w:tc>
          <w:tcPr>
            <w:tcW w:w="177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Február</w:t>
            </w:r>
          </w:p>
        </w:tc>
        <w:tc>
          <w:tcPr>
            <w:tcW w:w="2016"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40</w:t>
            </w:r>
          </w:p>
        </w:tc>
        <w:tc>
          <w:tcPr>
            <w:tcW w:w="1989"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282</w:t>
            </w:r>
          </w:p>
        </w:tc>
        <w:tc>
          <w:tcPr>
            <w:tcW w:w="1984"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460</w:t>
            </w:r>
          </w:p>
        </w:tc>
        <w:tc>
          <w:tcPr>
            <w:tcW w:w="1985"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782</w:t>
            </w:r>
          </w:p>
        </w:tc>
      </w:tr>
      <w:tr>
        <w:trPr/>
        <w:tc>
          <w:tcPr>
            <w:tcW w:w="177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Március</w:t>
            </w:r>
          </w:p>
        </w:tc>
        <w:tc>
          <w:tcPr>
            <w:tcW w:w="2016"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44</w:t>
            </w:r>
          </w:p>
        </w:tc>
        <w:tc>
          <w:tcPr>
            <w:tcW w:w="1989"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303</w:t>
            </w:r>
          </w:p>
        </w:tc>
        <w:tc>
          <w:tcPr>
            <w:tcW w:w="1984"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539</w:t>
            </w:r>
          </w:p>
        </w:tc>
        <w:tc>
          <w:tcPr>
            <w:tcW w:w="1985"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886</w:t>
            </w:r>
          </w:p>
        </w:tc>
      </w:tr>
      <w:tr>
        <w:trPr/>
        <w:tc>
          <w:tcPr>
            <w:tcW w:w="177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Április</w:t>
            </w:r>
          </w:p>
        </w:tc>
        <w:tc>
          <w:tcPr>
            <w:tcW w:w="2016"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36</w:t>
            </w:r>
          </w:p>
        </w:tc>
        <w:tc>
          <w:tcPr>
            <w:tcW w:w="1989"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227</w:t>
            </w:r>
          </w:p>
        </w:tc>
        <w:tc>
          <w:tcPr>
            <w:tcW w:w="1984"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493</w:t>
            </w:r>
          </w:p>
        </w:tc>
        <w:tc>
          <w:tcPr>
            <w:tcW w:w="1985"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756</w:t>
            </w:r>
          </w:p>
        </w:tc>
      </w:tr>
      <w:tr>
        <w:trPr/>
        <w:tc>
          <w:tcPr>
            <w:tcW w:w="177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Május</w:t>
            </w:r>
          </w:p>
        </w:tc>
        <w:tc>
          <w:tcPr>
            <w:tcW w:w="2016"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44</w:t>
            </w:r>
          </w:p>
        </w:tc>
        <w:tc>
          <w:tcPr>
            <w:tcW w:w="1989"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278</w:t>
            </w:r>
          </w:p>
        </w:tc>
        <w:tc>
          <w:tcPr>
            <w:tcW w:w="1984"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596</w:t>
            </w:r>
          </w:p>
        </w:tc>
        <w:tc>
          <w:tcPr>
            <w:tcW w:w="1985"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918</w:t>
            </w:r>
          </w:p>
        </w:tc>
      </w:tr>
      <w:tr>
        <w:trPr/>
        <w:tc>
          <w:tcPr>
            <w:tcW w:w="177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Június</w:t>
            </w:r>
          </w:p>
        </w:tc>
        <w:tc>
          <w:tcPr>
            <w:tcW w:w="2016"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42</w:t>
            </w:r>
          </w:p>
        </w:tc>
        <w:tc>
          <w:tcPr>
            <w:tcW w:w="1989"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287</w:t>
            </w:r>
          </w:p>
        </w:tc>
        <w:tc>
          <w:tcPr>
            <w:tcW w:w="1984"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595</w:t>
            </w:r>
          </w:p>
        </w:tc>
        <w:tc>
          <w:tcPr>
            <w:tcW w:w="1985"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924</w:t>
            </w:r>
          </w:p>
        </w:tc>
      </w:tr>
      <w:tr>
        <w:trPr/>
        <w:tc>
          <w:tcPr>
            <w:tcW w:w="177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Július</w:t>
            </w:r>
          </w:p>
        </w:tc>
        <w:tc>
          <w:tcPr>
            <w:tcW w:w="2016"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42</w:t>
            </w:r>
          </w:p>
        </w:tc>
        <w:tc>
          <w:tcPr>
            <w:tcW w:w="1989"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303</w:t>
            </w:r>
          </w:p>
        </w:tc>
        <w:tc>
          <w:tcPr>
            <w:tcW w:w="1984"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581</w:t>
            </w:r>
          </w:p>
        </w:tc>
        <w:tc>
          <w:tcPr>
            <w:tcW w:w="1985"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926</w:t>
            </w:r>
          </w:p>
        </w:tc>
      </w:tr>
      <w:tr>
        <w:trPr/>
        <w:tc>
          <w:tcPr>
            <w:tcW w:w="177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Augusztus</w:t>
            </w:r>
          </w:p>
        </w:tc>
        <w:tc>
          <w:tcPr>
            <w:tcW w:w="2016"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46</w:t>
            </w:r>
          </w:p>
        </w:tc>
        <w:tc>
          <w:tcPr>
            <w:tcW w:w="1989"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317</w:t>
            </w:r>
          </w:p>
        </w:tc>
        <w:tc>
          <w:tcPr>
            <w:tcW w:w="1984"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693</w:t>
            </w:r>
          </w:p>
        </w:tc>
        <w:tc>
          <w:tcPr>
            <w:tcW w:w="1985"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1056</w:t>
            </w:r>
          </w:p>
        </w:tc>
      </w:tr>
      <w:tr>
        <w:trPr/>
        <w:tc>
          <w:tcPr>
            <w:tcW w:w="177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Szeptember</w:t>
            </w:r>
          </w:p>
        </w:tc>
        <w:tc>
          <w:tcPr>
            <w:tcW w:w="2016"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40</w:t>
            </w:r>
          </w:p>
        </w:tc>
        <w:tc>
          <w:tcPr>
            <w:tcW w:w="1989"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291</w:t>
            </w:r>
          </w:p>
        </w:tc>
        <w:tc>
          <w:tcPr>
            <w:tcW w:w="1984"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822</w:t>
            </w:r>
          </w:p>
        </w:tc>
        <w:tc>
          <w:tcPr>
            <w:tcW w:w="1985"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1153</w:t>
            </w:r>
          </w:p>
        </w:tc>
      </w:tr>
      <w:tr>
        <w:trPr/>
        <w:tc>
          <w:tcPr>
            <w:tcW w:w="177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Október</w:t>
            </w:r>
          </w:p>
        </w:tc>
        <w:tc>
          <w:tcPr>
            <w:tcW w:w="2016"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38</w:t>
            </w:r>
          </w:p>
        </w:tc>
        <w:tc>
          <w:tcPr>
            <w:tcW w:w="1989"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323</w:t>
            </w:r>
          </w:p>
        </w:tc>
        <w:tc>
          <w:tcPr>
            <w:tcW w:w="1984"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801</w:t>
            </w:r>
          </w:p>
        </w:tc>
        <w:tc>
          <w:tcPr>
            <w:tcW w:w="1985"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1162</w:t>
            </w:r>
          </w:p>
        </w:tc>
      </w:tr>
      <w:tr>
        <w:trPr/>
        <w:tc>
          <w:tcPr>
            <w:tcW w:w="177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November</w:t>
            </w:r>
          </w:p>
        </w:tc>
        <w:tc>
          <w:tcPr>
            <w:tcW w:w="2016"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21</w:t>
            </w:r>
          </w:p>
        </w:tc>
        <w:tc>
          <w:tcPr>
            <w:tcW w:w="1989"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333</w:t>
            </w:r>
          </w:p>
        </w:tc>
        <w:tc>
          <w:tcPr>
            <w:tcW w:w="1984"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783</w:t>
            </w:r>
          </w:p>
        </w:tc>
        <w:tc>
          <w:tcPr>
            <w:tcW w:w="1985"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1137</w:t>
            </w:r>
          </w:p>
        </w:tc>
      </w:tr>
      <w:tr>
        <w:trPr/>
        <w:tc>
          <w:tcPr>
            <w:tcW w:w="177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December</w:t>
            </w:r>
          </w:p>
        </w:tc>
        <w:tc>
          <w:tcPr>
            <w:tcW w:w="2016"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19</w:t>
            </w:r>
          </w:p>
        </w:tc>
        <w:tc>
          <w:tcPr>
            <w:tcW w:w="1989"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273</w:t>
            </w:r>
          </w:p>
        </w:tc>
        <w:tc>
          <w:tcPr>
            <w:tcW w:w="1984"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629</w:t>
            </w:r>
          </w:p>
        </w:tc>
        <w:tc>
          <w:tcPr>
            <w:tcW w:w="1985"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921</w:t>
            </w:r>
          </w:p>
        </w:tc>
      </w:tr>
      <w:tr>
        <w:trPr/>
        <w:tc>
          <w:tcPr>
            <w:tcW w:w="177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Összesen</w:t>
            </w:r>
          </w:p>
        </w:tc>
        <w:tc>
          <w:tcPr>
            <w:tcW w:w="2016"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456</w:t>
            </w:r>
          </w:p>
        </w:tc>
        <w:tc>
          <w:tcPr>
            <w:tcW w:w="1989"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3.540</w:t>
            </w:r>
          </w:p>
        </w:tc>
        <w:tc>
          <w:tcPr>
            <w:tcW w:w="1984"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7.499</w:t>
            </w:r>
          </w:p>
        </w:tc>
        <w:tc>
          <w:tcPr>
            <w:tcW w:w="1985"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11.495</w:t>
            </w:r>
          </w:p>
        </w:tc>
      </w:tr>
    </w:tbl>
    <w:p>
      <w:pPr>
        <w:pStyle w:val="Standard"/>
        <w:spacing w:lineRule="auto" w:line="360"/>
        <w:jc w:val="both"/>
        <w:rPr/>
      </w:pPr>
      <w:r>
        <w:rPr/>
      </w:r>
    </w:p>
    <w:p>
      <w:pPr>
        <w:pStyle w:val="Standard"/>
        <w:spacing w:lineRule="auto" w:line="360"/>
        <w:jc w:val="both"/>
        <w:rPr>
          <w:color w:val="000000" w:themeColor="text1"/>
        </w:rPr>
      </w:pPr>
      <w:r>
        <w:rPr/>
      </w:r>
    </w:p>
    <w:p>
      <w:pPr>
        <w:pStyle w:val="Standard"/>
        <w:spacing w:lineRule="auto" w:line="360"/>
        <w:jc w:val="both"/>
        <w:rPr>
          <w:color w:val="000000" w:themeColor="text1"/>
        </w:rPr>
      </w:pPr>
      <w:r>
        <w:rPr/>
      </w:r>
    </w:p>
    <w:p>
      <w:pPr>
        <w:pStyle w:val="Standard"/>
        <w:spacing w:lineRule="auto" w:line="360"/>
        <w:jc w:val="both"/>
        <w:rPr>
          <w:rFonts w:eastAsia="Times New Roman" w:cs="Times New Roman"/>
          <w:color w:val="000000" w:themeColor="text1"/>
        </w:rPr>
      </w:pPr>
      <w:r>
        <w:rPr>
          <w:color w:val="000000" w:themeColor="text1"/>
        </w:rPr>
        <w:t xml:space="preserve">Az alábbi táblázat szemlélteti az étkeztetésben térítési díjat fizetők megosztását: </w:t>
      </w:r>
    </w:p>
    <w:p>
      <w:pPr>
        <w:pStyle w:val="Normal"/>
        <w:widowControl w:val="false"/>
        <w:suppressAutoHyphens w:val="true"/>
        <w:spacing w:before="0" w:after="0"/>
        <w:textAlignment w:val="baseline"/>
        <w:rPr>
          <w:rFonts w:ascii="Times New Roman" w:hAnsi="Times New Roman" w:eastAsia="Lucida Sans Unicode" w:cs="Tahoma"/>
          <w:color w:val="FF0000"/>
          <w:sz w:val="24"/>
          <w:szCs w:val="24"/>
          <w:lang w:eastAsia="zh-CN"/>
        </w:rPr>
      </w:pPr>
      <w:r>
        <w:rPr>
          <w:rFonts w:eastAsia="Lucida Sans Unicode" w:cs="Tahoma" w:ascii="Times New Roman" w:hAnsi="Times New Roman"/>
          <w:color w:val="FF0000"/>
          <w:sz w:val="24"/>
          <w:szCs w:val="24"/>
          <w:lang w:eastAsia="zh-CN"/>
        </w:rPr>
      </w:r>
    </w:p>
    <w:tbl>
      <w:tblPr>
        <w:tblW w:w="9649" w:type="dxa"/>
        <w:jc w:val="left"/>
        <w:tblInd w:w="0" w:type="dxa"/>
        <w:tblBorders>
          <w:top w:val="single" w:sz="2" w:space="0" w:color="000001"/>
          <w:left w:val="single" w:sz="2" w:space="0" w:color="000001"/>
          <w:bottom w:val="single" w:sz="2" w:space="0" w:color="000001"/>
          <w:insideH w:val="single" w:sz="2" w:space="0" w:color="000001"/>
        </w:tblBorders>
        <w:tblCellMar>
          <w:top w:w="0" w:type="dxa"/>
          <w:left w:w="7" w:type="dxa"/>
          <w:bottom w:w="0" w:type="dxa"/>
          <w:right w:w="10" w:type="dxa"/>
        </w:tblCellMar>
        <w:tblLook w:firstRow="0" w:noVBand="0" w:lastRow="0" w:firstColumn="0" w:lastColumn="0" w:noHBand="0" w:val="0000"/>
      </w:tblPr>
      <w:tblGrid>
        <w:gridCol w:w="3573"/>
        <w:gridCol w:w="3241"/>
        <w:gridCol w:w="2835"/>
      </w:tblGrid>
      <w:tr>
        <w:trPr>
          <w:trHeight w:val="250" w:hRule="atLeast"/>
          <w:cantSplit w:val="true"/>
        </w:trPr>
        <w:tc>
          <w:tcPr>
            <w:tcW w:w="3573" w:type="dxa"/>
            <w:vMerge w:val="restart"/>
            <w:tcBorders>
              <w:top w:val="single" w:sz="2" w:space="0" w:color="000001"/>
              <w:left w:val="single" w:sz="2" w:space="0" w:color="000001"/>
              <w:bottom w:val="single" w:sz="2" w:space="0" w:color="000001"/>
              <w:insideH w:val="single" w:sz="2" w:space="0" w:color="000001"/>
            </w:tcBorders>
            <w:shd w:color="auto" w:fill="auto" w:val="clear"/>
            <w:tcMar>
              <w:left w:w="7" w:type="dxa"/>
            </w:tcMar>
            <w:vAlign w:val="cente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b/>
                <w:b/>
                <w:color w:val="000000" w:themeColor="text1"/>
                <w:sz w:val="24"/>
                <w:szCs w:val="24"/>
                <w:lang w:eastAsia="zh-CN"/>
              </w:rPr>
            </w:pPr>
            <w:r>
              <w:rPr>
                <w:rFonts w:eastAsia="Lucida Sans Unicode" w:cs="Tahoma" w:ascii="Times New Roman" w:hAnsi="Times New Roman"/>
                <w:b/>
                <w:color w:val="000000" w:themeColor="text1"/>
                <w:sz w:val="24"/>
                <w:szCs w:val="24"/>
                <w:lang w:eastAsia="zh-CN"/>
              </w:rPr>
              <w:t>Megnevezés</w:t>
            </w:r>
          </w:p>
        </w:tc>
        <w:tc>
          <w:tcPr>
            <w:tcW w:w="6076" w:type="dxa"/>
            <w:gridSpan w:val="2"/>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b/>
                <w:b/>
                <w:color w:val="000000" w:themeColor="text1"/>
                <w:sz w:val="24"/>
                <w:szCs w:val="24"/>
                <w:lang w:eastAsia="zh-CN"/>
              </w:rPr>
            </w:pPr>
            <w:r>
              <w:rPr>
                <w:rFonts w:eastAsia="Lucida Sans Unicode" w:cs="Tahoma" w:ascii="Times New Roman" w:hAnsi="Times New Roman"/>
                <w:b/>
                <w:color w:val="000000" w:themeColor="text1"/>
                <w:sz w:val="24"/>
                <w:szCs w:val="24"/>
                <w:lang w:eastAsia="zh-CN"/>
              </w:rPr>
              <w:t>Étkezésben részesülők 2017.02.31.</w:t>
            </w:r>
          </w:p>
        </w:tc>
      </w:tr>
      <w:tr>
        <w:trPr>
          <w:trHeight w:val="565" w:hRule="atLeast"/>
          <w:cantSplit w:val="true"/>
        </w:trPr>
        <w:tc>
          <w:tcPr>
            <w:tcW w:w="3573" w:type="dxa"/>
            <w:vMerge w:val="continue"/>
            <w:tcBorders>
              <w:top w:val="single" w:sz="2" w:space="0" w:color="000001"/>
              <w:left w:val="single" w:sz="2" w:space="0" w:color="000001"/>
              <w:bottom w:val="single" w:sz="2" w:space="0" w:color="000001"/>
              <w:insideH w:val="single" w:sz="2" w:space="0" w:color="000001"/>
            </w:tcBorders>
            <w:shd w:color="auto" w:fill="auto" w:val="clear"/>
            <w:tcMar>
              <w:left w:w="7" w:type="dxa"/>
            </w:tcMar>
            <w:vAlign w:val="center"/>
          </w:tcPr>
          <w:p>
            <w:pPr>
              <w:pStyle w:val="Normal"/>
              <w:widowControl w:val="false"/>
              <w:suppressAutoHyphens w:val="true"/>
              <w:snapToGrid w:val="fals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r>
          </w:p>
        </w:tc>
        <w:tc>
          <w:tcPr>
            <w:tcW w:w="3241" w:type="dxa"/>
            <w:tcBorders>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Helyben fogyasztással</w:t>
            </w:r>
          </w:p>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vagy elvitellel</w:t>
            </w:r>
          </w:p>
        </w:tc>
        <w:tc>
          <w:tcPr>
            <w:tcW w:w="2835" w:type="dxa"/>
            <w:tcBorders>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7" w:type="dxa"/>
            </w:tcMar>
            <w:vAlign w:val="cente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Kiszállítással</w:t>
            </w:r>
          </w:p>
        </w:tc>
      </w:tr>
      <w:tr>
        <w:trPr>
          <w:trHeight w:val="250" w:hRule="atLeast"/>
        </w:trPr>
        <w:tc>
          <w:tcPr>
            <w:tcW w:w="3573" w:type="dxa"/>
            <w:tcBorders>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Térítési díjat fizet</w:t>
            </w:r>
          </w:p>
        </w:tc>
        <w:tc>
          <w:tcPr>
            <w:tcW w:w="3241" w:type="dxa"/>
            <w:tcBorders>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45</w:t>
            </w:r>
          </w:p>
        </w:tc>
        <w:tc>
          <w:tcPr>
            <w:tcW w:w="2835" w:type="dxa"/>
            <w:tcBorders>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24</w:t>
            </w:r>
          </w:p>
        </w:tc>
      </w:tr>
      <w:tr>
        <w:trPr>
          <w:trHeight w:val="262" w:hRule="atLeast"/>
        </w:trPr>
        <w:tc>
          <w:tcPr>
            <w:tcW w:w="3573" w:type="dxa"/>
            <w:tcBorders>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pacing w:lineRule="auto" w:line="240"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Térítési díjat nem fizet</w:t>
            </w:r>
          </w:p>
        </w:tc>
        <w:tc>
          <w:tcPr>
            <w:tcW w:w="3241" w:type="dxa"/>
            <w:tcBorders>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1</w:t>
            </w:r>
          </w:p>
        </w:tc>
        <w:tc>
          <w:tcPr>
            <w:tcW w:w="2835" w:type="dxa"/>
            <w:tcBorders>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w:t>
            </w:r>
          </w:p>
        </w:tc>
      </w:tr>
      <w:tr>
        <w:trPr>
          <w:trHeight w:val="262" w:hRule="atLeast"/>
        </w:trPr>
        <w:tc>
          <w:tcPr>
            <w:tcW w:w="3573" w:type="dxa"/>
            <w:tcBorders>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Összesen</w:t>
            </w:r>
          </w:p>
        </w:tc>
        <w:tc>
          <w:tcPr>
            <w:tcW w:w="3241" w:type="dxa"/>
            <w:tcBorders>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napToGrid w:val="false"/>
              <w:spacing w:lineRule="auto" w:line="240"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47</w:t>
            </w:r>
          </w:p>
        </w:tc>
        <w:tc>
          <w:tcPr>
            <w:tcW w:w="2835" w:type="dxa"/>
            <w:tcBorders>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7" w:type="dxa"/>
            </w:tcMar>
          </w:tcPr>
          <w:p>
            <w:pPr>
              <w:pStyle w:val="Normal"/>
              <w:widowControl w:val="false"/>
              <w:suppressAutoHyphens w:val="true"/>
              <w:snapToGrid w:val="false"/>
              <w:spacing w:lineRule="auto" w:line="240"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t>24</w:t>
            </w:r>
          </w:p>
        </w:tc>
      </w:tr>
    </w:tbl>
    <w:p>
      <w:pPr>
        <w:pStyle w:val="Normal"/>
        <w:widowControl w:val="false"/>
        <w:suppressAutoHyphens w:val="true"/>
        <w:spacing w:before="0" w:after="0"/>
        <w:jc w:val="center"/>
        <w:textAlignment w:val="baseline"/>
        <w:rPr>
          <w:rFonts w:ascii="Times New Roman" w:hAnsi="Times New Roman" w:eastAsia="Lucida Sans Unicode" w:cs="Tahoma"/>
          <w:color w:val="000000" w:themeColor="text1"/>
          <w:sz w:val="24"/>
          <w:szCs w:val="24"/>
          <w:lang w:eastAsia="zh-CN"/>
        </w:rPr>
      </w:pPr>
      <w:r>
        <w:rPr>
          <w:rFonts w:eastAsia="Lucida Sans Unicode" w:cs="Tahoma" w:ascii="Times New Roman" w:hAnsi="Times New Roman"/>
          <w:color w:val="000000" w:themeColor="text1"/>
          <w:sz w:val="24"/>
          <w:szCs w:val="24"/>
          <w:lang w:eastAsia="zh-CN"/>
        </w:rPr>
      </w:r>
    </w:p>
    <w:p>
      <w:pPr>
        <w:pStyle w:val="Normal"/>
        <w:spacing w:lineRule="auto" w:line="360" w:before="0" w:after="0"/>
        <w:jc w:val="center"/>
        <w:rPr>
          <w:rFonts w:ascii="Times New Roman" w:hAnsi="Times New Roman" w:eastAsia="Times New Roman"/>
          <w:color w:val="FF0000"/>
          <w:sz w:val="24"/>
          <w:szCs w:val="24"/>
          <w:u w:val="single"/>
        </w:rPr>
      </w:pPr>
      <w:r>
        <w:rPr>
          <w:rFonts w:eastAsia="Times New Roman" w:ascii="Times New Roman" w:hAnsi="Times New Roman"/>
          <w:color w:val="FF0000"/>
          <w:sz w:val="24"/>
          <w:szCs w:val="24"/>
          <w:u w:val="single"/>
        </w:rPr>
      </w:r>
    </w:p>
    <w:p>
      <w:pPr>
        <w:pStyle w:val="Normal"/>
        <w:spacing w:lineRule="auto" w:line="360" w:before="0" w:after="0"/>
        <w:rPr>
          <w:rFonts w:ascii="Times New Roman" w:hAnsi="Times New Roman"/>
          <w:color w:val="000000" w:themeColor="text1"/>
        </w:rPr>
      </w:pPr>
      <w:r>
        <w:rPr>
          <w:rFonts w:ascii="Times New Roman" w:hAnsi="Times New Roman"/>
          <w:color w:val="000000" w:themeColor="text1"/>
        </w:rPr>
        <w:t>Az alábbi táblázat szemlélteti az étkeztetésben részesülők kor szerinti megosztását:</w:t>
      </w:r>
    </w:p>
    <w:p>
      <w:pPr>
        <w:pStyle w:val="Normal"/>
        <w:spacing w:lineRule="auto" w:line="360" w:before="0" w:after="0"/>
        <w:rPr>
          <w:rFonts w:ascii="Times New Roman" w:hAnsi="Times New Roman" w:eastAsia="Times New Roman"/>
          <w:color w:val="FF0000"/>
          <w:szCs w:val="24"/>
          <w:u w:val="single"/>
        </w:rPr>
      </w:pPr>
      <w:r>
        <w:rPr>
          <w:rFonts w:eastAsia="Times New Roman" w:ascii="Times New Roman" w:hAnsi="Times New Roman"/>
          <w:color w:val="FF0000"/>
          <w:szCs w:val="24"/>
          <w:u w:val="single"/>
        </w:rPr>
      </w:r>
    </w:p>
    <w:tbl>
      <w:tblPr>
        <w:tblStyle w:val="Rcsostblzat"/>
        <w:tblW w:w="9747" w:type="dxa"/>
        <w:jc w:val="left"/>
        <w:tblInd w:w="0" w:type="dxa"/>
        <w:tblCellMar>
          <w:top w:w="0" w:type="dxa"/>
          <w:left w:w="108" w:type="dxa"/>
          <w:bottom w:w="0" w:type="dxa"/>
          <w:right w:w="108" w:type="dxa"/>
        </w:tblCellMar>
        <w:tblLook w:firstRow="1" w:noVBand="1" w:lastRow="0" w:firstColumn="1" w:lastColumn="0" w:noHBand="0" w:val="04a0"/>
      </w:tblPr>
      <w:tblGrid>
        <w:gridCol w:w="3070"/>
        <w:gridCol w:w="3417"/>
        <w:gridCol w:w="3260"/>
      </w:tblGrid>
      <w:tr>
        <w:trPr/>
        <w:tc>
          <w:tcPr>
            <w:tcW w:w="3070" w:type="dxa"/>
            <w:tcBorders/>
            <w:shd w:fill="auto" w:val="clear"/>
            <w:tcMar>
              <w:left w:w="108" w:type="dxa"/>
            </w:tcMar>
            <w:vAlign w:val="center"/>
          </w:tcPr>
          <w:p>
            <w:pPr>
              <w:pStyle w:val="Normal"/>
              <w:spacing w:lineRule="auto" w:line="360" w:before="0" w:after="0"/>
              <w:jc w:val="center"/>
              <w:rPr>
                <w:rFonts w:ascii="Times New Roman" w:hAnsi="Times New Roman" w:eastAsia="Times New Roman"/>
                <w:szCs w:val="24"/>
              </w:rPr>
            </w:pPr>
            <w:r>
              <w:rPr>
                <w:rFonts w:eastAsia="Times New Roman" w:ascii="Times New Roman" w:hAnsi="Times New Roman"/>
                <w:szCs w:val="24"/>
              </w:rPr>
            </w:r>
          </w:p>
          <w:p>
            <w:pPr>
              <w:pStyle w:val="Normal"/>
              <w:spacing w:lineRule="auto" w:line="360" w:before="0" w:after="0"/>
              <w:jc w:val="center"/>
              <w:rPr>
                <w:rFonts w:ascii="Times New Roman" w:hAnsi="Times New Roman" w:eastAsia="Times New Roman"/>
                <w:b/>
                <w:b/>
                <w:szCs w:val="24"/>
              </w:rPr>
            </w:pPr>
            <w:r>
              <w:rPr>
                <w:rFonts w:eastAsia="Times New Roman" w:ascii="Times New Roman" w:hAnsi="Times New Roman"/>
                <w:b/>
                <w:szCs w:val="24"/>
              </w:rPr>
              <w:t>Kor/év</w:t>
            </w:r>
          </w:p>
        </w:tc>
        <w:tc>
          <w:tcPr>
            <w:tcW w:w="3417" w:type="dxa"/>
            <w:tcBorders/>
            <w:shd w:fill="auto" w:val="clear"/>
            <w:tcMar>
              <w:left w:w="108" w:type="dxa"/>
            </w:tcMar>
            <w:vAlign w:val="center"/>
          </w:tcPr>
          <w:p>
            <w:pPr>
              <w:pStyle w:val="Normal"/>
              <w:spacing w:lineRule="auto" w:line="360" w:before="0" w:after="0"/>
              <w:jc w:val="center"/>
              <w:rPr>
                <w:rFonts w:ascii="Times New Roman" w:hAnsi="Times New Roman" w:eastAsia="Times New Roman"/>
                <w:b/>
                <w:b/>
                <w:szCs w:val="24"/>
              </w:rPr>
            </w:pPr>
            <w:r>
              <w:rPr>
                <w:rFonts w:eastAsia="Times New Roman" w:ascii="Times New Roman" w:hAnsi="Times New Roman"/>
                <w:b/>
                <w:szCs w:val="24"/>
              </w:rPr>
              <w:t>Férfi/ Fő</w:t>
            </w:r>
          </w:p>
        </w:tc>
        <w:tc>
          <w:tcPr>
            <w:tcW w:w="3260" w:type="dxa"/>
            <w:tcBorders/>
            <w:shd w:fill="auto" w:val="clear"/>
            <w:tcMar>
              <w:left w:w="108" w:type="dxa"/>
            </w:tcMar>
            <w:vAlign w:val="center"/>
          </w:tcPr>
          <w:p>
            <w:pPr>
              <w:pStyle w:val="Normal"/>
              <w:spacing w:lineRule="auto" w:line="360" w:before="0" w:after="0"/>
              <w:jc w:val="center"/>
              <w:rPr>
                <w:rFonts w:ascii="Times New Roman" w:hAnsi="Times New Roman" w:eastAsia="Times New Roman"/>
                <w:b/>
                <w:b/>
                <w:color w:val="FF0000"/>
                <w:szCs w:val="24"/>
              </w:rPr>
            </w:pPr>
            <w:r>
              <w:rPr>
                <w:rFonts w:eastAsia="Times New Roman" w:ascii="Times New Roman" w:hAnsi="Times New Roman"/>
                <w:b/>
                <w:color w:val="000000" w:themeColor="text1"/>
                <w:szCs w:val="24"/>
              </w:rPr>
              <w:t>Nő/ Fő</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40-50</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u w:val="single"/>
              </w:rPr>
            </w:pPr>
            <w:r>
              <w:rPr>
                <w:rFonts w:eastAsia="Times New Roman" w:ascii="Times New Roman" w:hAnsi="Times New Roman"/>
                <w:sz w:val="24"/>
                <w:szCs w:val="24"/>
                <w:u w:val="single"/>
              </w:rPr>
              <w:t>_</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1</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51-60</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6</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3</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61-70</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5</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12</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71-80</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3</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24</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81-90</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_</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8</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90 felett</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2</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7</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b/>
                <w:b/>
                <w:sz w:val="24"/>
                <w:szCs w:val="24"/>
              </w:rPr>
            </w:pPr>
            <w:r>
              <w:rPr>
                <w:rFonts w:eastAsia="Times New Roman" w:ascii="Times New Roman" w:hAnsi="Times New Roman"/>
                <w:b/>
                <w:sz w:val="24"/>
                <w:szCs w:val="24"/>
              </w:rPr>
              <w:t>Összesen</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b/>
                <w:b/>
                <w:sz w:val="24"/>
                <w:szCs w:val="24"/>
              </w:rPr>
            </w:pPr>
            <w:r>
              <w:rPr>
                <w:rFonts w:eastAsia="Times New Roman" w:ascii="Times New Roman" w:hAnsi="Times New Roman"/>
                <w:b/>
                <w:sz w:val="24"/>
                <w:szCs w:val="24"/>
              </w:rPr>
              <w:t>16</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b/>
                <w:b/>
                <w:color w:val="000000" w:themeColor="text1"/>
                <w:sz w:val="24"/>
                <w:szCs w:val="24"/>
              </w:rPr>
            </w:pPr>
            <w:r>
              <w:rPr>
                <w:rFonts w:eastAsia="Times New Roman" w:ascii="Times New Roman" w:hAnsi="Times New Roman"/>
                <w:b/>
                <w:color w:val="000000" w:themeColor="text1"/>
                <w:sz w:val="24"/>
                <w:szCs w:val="24"/>
              </w:rPr>
              <w:t>55</w:t>
            </w:r>
          </w:p>
        </w:tc>
      </w:tr>
    </w:tbl>
    <w:p>
      <w:pPr>
        <w:pStyle w:val="Normal"/>
        <w:spacing w:lineRule="auto" w:line="360" w:before="0" w:after="0"/>
        <w:jc w:val="center"/>
        <w:rPr>
          <w:rFonts w:ascii="Times New Roman" w:hAnsi="Times New Roman" w:eastAsia="Times New Roman"/>
          <w:color w:val="FF0000"/>
          <w:sz w:val="24"/>
          <w:szCs w:val="24"/>
          <w:u w:val="single"/>
        </w:rPr>
      </w:pPr>
      <w:r>
        <w:rPr>
          <w:rFonts w:eastAsia="Times New Roman" w:ascii="Times New Roman" w:hAnsi="Times New Roman"/>
          <w:color w:val="FF0000"/>
          <w:sz w:val="24"/>
          <w:szCs w:val="24"/>
          <w:u w:val="single"/>
        </w:rPr>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Szociális étkeztetésre külön személyzetünk nincs. Az étkezéssel kapcsolatos adminisztrációs feladatokat a nappali ellátásban alkalmazott dolgozó, valamint a nappali ellátás vezetője, a kiszállítást a házi gondozónők látják el. Az étel kiszállítása hétköznapokon 11.30 és 13 óra között történik.</w:t>
      </w:r>
    </w:p>
    <w:p>
      <w:pPr>
        <w:pStyle w:val="Normal"/>
        <w:spacing w:lineRule="auto" w:line="360" w:before="0" w:after="0"/>
        <w:rPr>
          <w:rFonts w:ascii="Times New Roman" w:hAnsi="Times New Roman" w:eastAsia="Times New Roman"/>
          <w:sz w:val="24"/>
          <w:szCs w:val="24"/>
          <w:u w:val="single"/>
        </w:rPr>
      </w:pPr>
      <w:r>
        <w:rPr>
          <w:rFonts w:eastAsia="Times New Roman" w:ascii="Times New Roman" w:hAnsi="Times New Roman"/>
          <w:sz w:val="24"/>
          <w:szCs w:val="24"/>
          <w:u w:val="single"/>
        </w:rPr>
      </w:r>
    </w:p>
    <w:p>
      <w:pPr>
        <w:pStyle w:val="Normal"/>
        <w:spacing w:lineRule="auto" w:line="360" w:before="0" w:after="0"/>
        <w:rPr>
          <w:rFonts w:ascii="Times New Roman" w:hAnsi="Times New Roman" w:eastAsia="Times New Roman"/>
          <w:sz w:val="24"/>
          <w:szCs w:val="24"/>
        </w:rPr>
      </w:pPr>
      <w:r>
        <w:rPr>
          <w:rFonts w:eastAsia="Times New Roman" w:ascii="Times New Roman" w:hAnsi="Times New Roman"/>
          <w:sz w:val="24"/>
          <w:szCs w:val="24"/>
          <w:u w:val="single"/>
        </w:rPr>
        <w:t>Házi segítségnyújtás</w:t>
      </w:r>
      <w:r>
        <w:rPr>
          <w:rFonts w:eastAsia="Times New Roman" w:ascii="Times New Roman" w:hAnsi="Times New Roman"/>
          <w:sz w:val="24"/>
          <w:szCs w:val="24"/>
        </w:rPr>
        <w:t xml:space="preserve"> </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Házi segítségnyújtás kereteiben gondoskodunk azokról az időskorú személyekről, akik otthonukban önmaguk ellátására állapotukból adódóan saját erőből nem képesek, önálló életvitellel kapcsolatos feladataik ellátásában segítséget igényelnek. A házi segítségnyújtás hozzájárul ahhoz, hogy az ellátást igénybe vevő fizikai, mentális, szociális szükséglete</w:t>
      </w:r>
    </w:p>
    <w:p>
      <w:pPr>
        <w:pStyle w:val="ListParagraph"/>
        <w:numPr>
          <w:ilvl w:val="0"/>
          <w:numId w:val="19"/>
        </w:numPr>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saját környezetében,</w:t>
      </w:r>
    </w:p>
    <w:p>
      <w:pPr>
        <w:pStyle w:val="ListParagraph"/>
        <w:numPr>
          <w:ilvl w:val="0"/>
          <w:numId w:val="19"/>
        </w:numPr>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életkorának, élethelyzetének és egészségi állapotának megfelelően,</w:t>
      </w:r>
    </w:p>
    <w:p>
      <w:pPr>
        <w:pStyle w:val="ListParagraph"/>
        <w:numPr>
          <w:ilvl w:val="0"/>
          <w:numId w:val="19"/>
        </w:numPr>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meglévő képességeinek fenntartásával, felhasználásával, fejlesztésével biztosított legyen.</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 xml:space="preserve">A házi segítségnyújtás igénybevételét megelőzően vizsgálni kell az ellátást igénylő gondozási szükségletét. Az igénylő gondozási szükségletének vizsgálatát szolgáltatás iránti kérelem alapján az intézményvezető, ennek hiányában a jegyző által felkért szakértő végzi el. </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 xml:space="preserve">Házi segítségnyújtás szolgáltatását az veheti igénybe, aki a 36/2007.(XII.22.) SZMM rendelet </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 xml:space="preserve">3. számú melléklete szerinti értékelő adatlap mérőtáblája szerint legalább 20 pontot elér. </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 xml:space="preserve">Továbbá jogosultságot szerezhet a szolgáltatásra az a személy, aki </w:t>
      </w:r>
    </w:p>
    <w:p>
      <w:pPr>
        <w:pStyle w:val="ListParagraph"/>
        <w:numPr>
          <w:ilvl w:val="0"/>
          <w:numId w:val="7"/>
        </w:numPr>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hatvanötödik életévét betöltötte és egyedül él,</w:t>
      </w:r>
    </w:p>
    <w:p>
      <w:pPr>
        <w:pStyle w:val="ListParagraph"/>
        <w:numPr>
          <w:ilvl w:val="0"/>
          <w:numId w:val="7"/>
        </w:numPr>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 xml:space="preserve">hetvenedik életévét betöltötte és lakóhelye közműves vízellátás vagy fűtés nélküli, </w:t>
      </w:r>
    </w:p>
    <w:p>
      <w:pPr>
        <w:pStyle w:val="ListParagraph"/>
        <w:numPr>
          <w:ilvl w:val="0"/>
          <w:numId w:val="7"/>
        </w:numPr>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hetvenötödik életévét betöltötte.</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2016-tól a gondozási tevékenységek elváltak egymástól, amely hatékonyabb és az igénylő szükséglete alapján célzottabb szolgáltatásnyújtást tesz lehetővé, ez által biztosítja, hogy az igénybevevők szükségleteihez illeszkedő szolgáltatásnyújtás történjen. A házi segítségnyújtás keretében szociális segítést vagy személyi gondozást kell nyújtani.</w:t>
      </w:r>
    </w:p>
    <w:p>
      <w:pPr>
        <w:pStyle w:val="Normal"/>
        <w:spacing w:lineRule="auto" w:line="360" w:before="0" w:after="0"/>
        <w:jc w:val="both"/>
        <w:rPr>
          <w:rFonts w:ascii="Times New Roman" w:hAnsi="Times New Roman" w:eastAsia="Times New Roman"/>
          <w:b/>
          <w:b/>
          <w:sz w:val="24"/>
          <w:szCs w:val="24"/>
        </w:rPr>
      </w:pPr>
      <w:r>
        <w:rPr>
          <w:rFonts w:eastAsia="Times New Roman" w:ascii="Times New Roman" w:hAnsi="Times New Roman"/>
          <w:b/>
          <w:sz w:val="24"/>
          <w:szCs w:val="24"/>
        </w:rPr>
      </w:r>
    </w:p>
    <w:p>
      <w:pPr>
        <w:pStyle w:val="Normal"/>
        <w:spacing w:lineRule="auto" w:line="360" w:before="0" w:after="0"/>
        <w:jc w:val="both"/>
        <w:rPr>
          <w:rFonts w:ascii="Times New Roman" w:hAnsi="Times New Roman" w:eastAsia="Times New Roman"/>
          <w:b/>
          <w:b/>
          <w:sz w:val="24"/>
          <w:szCs w:val="24"/>
        </w:rPr>
      </w:pPr>
      <w:r>
        <w:rPr>
          <w:rFonts w:eastAsia="Times New Roman" w:ascii="Times New Roman" w:hAnsi="Times New Roman"/>
          <w:b/>
          <w:sz w:val="24"/>
          <w:szCs w:val="24"/>
        </w:rPr>
        <w:t xml:space="preserve">Szociális segítés keretében biztosítani kell: </w:t>
      </w:r>
    </w:p>
    <w:p>
      <w:pPr>
        <w:pStyle w:val="ListParagraph"/>
        <w:numPr>
          <w:ilvl w:val="0"/>
          <w:numId w:val="6"/>
        </w:numPr>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lakókörnyezeti higiénia megtartásában való közreműködést</w:t>
      </w:r>
    </w:p>
    <w:p>
      <w:pPr>
        <w:pStyle w:val="ListParagraph"/>
        <w:numPr>
          <w:ilvl w:val="0"/>
          <w:numId w:val="6"/>
        </w:numPr>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háztartási tevékenységben való közreműködést</w:t>
      </w:r>
    </w:p>
    <w:p>
      <w:pPr>
        <w:pStyle w:val="ListParagraph"/>
        <w:numPr>
          <w:ilvl w:val="0"/>
          <w:numId w:val="6"/>
        </w:numPr>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 xml:space="preserve">veszélyhelyzetek kialakulásának megelőzésében és a kialakult veszélyhelyzet elhárításában történő segítségnyújtást </w:t>
      </w:r>
    </w:p>
    <w:p>
      <w:pPr>
        <w:pStyle w:val="ListParagraph"/>
        <w:numPr>
          <w:ilvl w:val="0"/>
          <w:numId w:val="6"/>
        </w:numPr>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szükség esetén a bentlakásos szociális intézménybe történő beköltözés segítését</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Amennyiben a szociális segítés biztosítása esetén személyi gondozási feladatok ellátása válik szükségessé, a gondozási szükséglet vizsgálatát ismételten el kell végezni.</w:t>
      </w:r>
    </w:p>
    <w:p>
      <w:pPr>
        <w:pStyle w:val="Normal"/>
        <w:spacing w:lineRule="auto" w:line="360" w:before="0" w:after="0"/>
        <w:jc w:val="both"/>
        <w:rPr>
          <w:rFonts w:ascii="Times New Roman" w:hAnsi="Times New Roman" w:eastAsia="Times New Roman"/>
          <w:b/>
          <w:b/>
          <w:sz w:val="24"/>
          <w:szCs w:val="24"/>
        </w:rPr>
      </w:pPr>
      <w:r>
        <w:rPr>
          <w:rFonts w:eastAsia="Times New Roman" w:ascii="Times New Roman" w:hAnsi="Times New Roman"/>
          <w:b/>
          <w:sz w:val="24"/>
          <w:szCs w:val="24"/>
        </w:rPr>
      </w:r>
    </w:p>
    <w:p>
      <w:pPr>
        <w:pStyle w:val="Normal"/>
        <w:spacing w:lineRule="auto" w:line="360" w:before="0" w:after="0"/>
        <w:jc w:val="both"/>
        <w:rPr>
          <w:rFonts w:ascii="Times New Roman" w:hAnsi="Times New Roman" w:eastAsia="Times New Roman"/>
          <w:b/>
          <w:b/>
          <w:sz w:val="24"/>
          <w:szCs w:val="24"/>
        </w:rPr>
      </w:pPr>
      <w:r>
        <w:rPr>
          <w:rFonts w:eastAsia="Times New Roman" w:ascii="Times New Roman" w:hAnsi="Times New Roman"/>
          <w:b/>
          <w:sz w:val="24"/>
          <w:szCs w:val="24"/>
        </w:rPr>
        <w:t xml:space="preserve">Személyi gondozás keretében biztosítani kell: </w:t>
      </w:r>
    </w:p>
    <w:p>
      <w:pPr>
        <w:pStyle w:val="ListParagraph"/>
        <w:numPr>
          <w:ilvl w:val="0"/>
          <w:numId w:val="5"/>
        </w:numPr>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 xml:space="preserve">ellátást igénybe vevővel a segítőkapcsolat kialakítását és fenntartását </w:t>
      </w:r>
    </w:p>
    <w:p>
      <w:pPr>
        <w:pStyle w:val="ListParagraph"/>
        <w:numPr>
          <w:ilvl w:val="0"/>
          <w:numId w:val="5"/>
        </w:numPr>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 xml:space="preserve">gondozási és ápolási feladatok elvégzését </w:t>
      </w:r>
    </w:p>
    <w:p>
      <w:pPr>
        <w:pStyle w:val="ListParagraph"/>
        <w:numPr>
          <w:ilvl w:val="0"/>
          <w:numId w:val="5"/>
        </w:numPr>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 xml:space="preserve">szociális segítés szerinti feladatokat </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Leggyakrabban igényelt szolgáltatások a következők: Bevásárlás, gyógyszeríratás és kiváltás, gyógyszeradagolás, vérnyomás mérése, vércukorszint mérése, fürdetés, takarítás, mosás, mosogatás, vasalás, csekkek feladása, ágyazás, ágyneműcsere, egyéb ügyintézés. Ezen kívül eseti jelleggel: injekciózás, pelenkázás, sebek ellátása, sztómazsák csere.</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A házi gondozó a házi segítségnyújtás során együttműködik az egészségügyi és szociális alap- és szakellátást nyújtó intézményekkel.</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t xml:space="preserve">A családok életvitele megváltozott, többgenerációs családok szinte már alig vannak, így az egyedül élő idősek száma is növekvő tendenciát mutat. Az egyedüllét miatt több gondoskodást és figyelmet igényelnek. Az ellátásban lévő gondozottak közül, vannak, akik minden napos segítséget igényelnek egészségi állapotuk miatt, mások csak bizonyos napokon kérnek ellátást. Minden ellátottal előzetesen egyeztetünk arról, hogy mi a szükséglete, miben kér segítséget. Fontos szempont számunkra, hogy elégedett legyen az idős ellátott. </w:t>
      </w:r>
    </w:p>
    <w:p>
      <w:pPr>
        <w:pStyle w:val="Normal"/>
        <w:spacing w:lineRule="auto" w:line="360" w:before="0" w:after="0"/>
        <w:jc w:val="both"/>
        <w:rPr>
          <w:rFonts w:ascii="Times New Roman" w:hAnsi="Times New Roman" w:eastAsia="Times New Roman"/>
          <w:sz w:val="24"/>
          <w:szCs w:val="24"/>
        </w:rPr>
      </w:pPr>
      <w:r>
        <w:rPr>
          <w:rFonts w:eastAsia="Times New Roman" w:ascii="Times New Roman" w:hAnsi="Times New Roman"/>
          <w:sz w:val="24"/>
          <w:szCs w:val="24"/>
        </w:rPr>
      </w:r>
    </w:p>
    <w:p>
      <w:pPr>
        <w:pStyle w:val="Normal"/>
        <w:widowControl w:val="false"/>
        <w:suppressAutoHyphens w:val="true"/>
        <w:spacing w:before="0" w:after="0"/>
        <w:textAlignment w:val="baseline"/>
        <w:rPr>
          <w:rFonts w:ascii="Times New Roman" w:hAnsi="Times New Roman" w:eastAsia="Lucida Sans Unicode" w:cs="Tahoma"/>
          <w:b/>
          <w:b/>
          <w:bCs/>
          <w:color w:val="FF0000"/>
          <w:sz w:val="24"/>
          <w:szCs w:val="24"/>
          <w:lang w:eastAsia="zh-CN"/>
        </w:rPr>
      </w:pPr>
      <w:r>
        <w:rPr>
          <w:rFonts w:eastAsia="Lucida Sans Unicode" w:cs="Tahoma" w:ascii="Times New Roman" w:hAnsi="Times New Roman"/>
          <w:b/>
          <w:bCs/>
          <w:sz w:val="24"/>
          <w:szCs w:val="24"/>
          <w:lang w:eastAsia="zh-CN"/>
        </w:rPr>
        <w:t xml:space="preserve">Házi segítségnyújtásban jelenleg részesül: 25 fő   </w:t>
      </w:r>
    </w:p>
    <w:p>
      <w:pPr>
        <w:pStyle w:val="Standard"/>
        <w:spacing w:lineRule="auto" w:line="360"/>
        <w:rPr>
          <w:color w:val="000000" w:themeColor="text1"/>
        </w:rPr>
      </w:pPr>
      <w:r>
        <w:rPr>
          <w:color w:val="000000" w:themeColor="text1"/>
        </w:rPr>
        <w:t>2017. év átlag ellátotti létszám: - személyi gondozás 11fő</w:t>
      </w:r>
    </w:p>
    <w:p>
      <w:pPr>
        <w:pStyle w:val="Standard"/>
        <w:spacing w:lineRule="auto" w:line="360"/>
        <w:rPr>
          <w:color w:val="000000" w:themeColor="text1"/>
        </w:rPr>
      </w:pPr>
      <w:r>
        <w:rPr>
          <w:color w:val="000000" w:themeColor="text1"/>
        </w:rPr>
        <w:t xml:space="preserve">                                                   </w:t>
      </w:r>
      <w:r>
        <w:rPr>
          <w:color w:val="000000" w:themeColor="text1"/>
        </w:rPr>
        <w:t>- szociális segítés 2fő</w:t>
      </w:r>
    </w:p>
    <w:p>
      <w:pPr>
        <w:pStyle w:val="Standard"/>
        <w:spacing w:lineRule="auto" w:line="360"/>
        <w:rPr/>
      </w:pPr>
      <w:r>
        <w:rPr>
          <w:b/>
          <w:bCs/>
        </w:rPr>
        <w:t xml:space="preserve">Térítés díj: </w:t>
      </w:r>
      <w:r>
        <w:rPr>
          <w:bCs/>
        </w:rPr>
        <w:t>350ft/óra</w:t>
      </w:r>
    </w:p>
    <w:p>
      <w:pPr>
        <w:pStyle w:val="Standard"/>
        <w:spacing w:lineRule="auto" w:line="360"/>
        <w:rPr>
          <w:b/>
          <w:b/>
          <w:color w:val="000000" w:themeColor="text1"/>
        </w:rPr>
      </w:pPr>
      <w:r>
        <w:rPr>
          <w:b/>
          <w:color w:val="000000" w:themeColor="text1"/>
        </w:rPr>
        <w:t>Térítési díjak alakulása 2016. december 31-én:</w:t>
      </w:r>
    </w:p>
    <w:p>
      <w:pPr>
        <w:pStyle w:val="Normal"/>
        <w:spacing w:lineRule="auto" w:line="360" w:before="0" w:after="0"/>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Beszedett térítés díj összege: 1.070.000 Ft,-</w:t>
      </w:r>
    </w:p>
    <w:p>
      <w:pPr>
        <w:pStyle w:val="Standard"/>
        <w:spacing w:lineRule="auto" w:line="360"/>
        <w:jc w:val="both"/>
        <w:rPr>
          <w:rFonts w:eastAsia="Times New Roman" w:cs="Times New Roman"/>
        </w:rPr>
      </w:pPr>
      <w:r>
        <w:rPr/>
        <w:t>Térítési díj hátralék: 20.905Ft</w:t>
      </w:r>
      <w:r>
        <w:rPr>
          <w:b/>
          <w:bCs/>
        </w:rPr>
        <w:t>,-</w:t>
      </w:r>
      <w:r>
        <w:rPr/>
        <w:t xml:space="preserve"> </w:t>
      </w:r>
    </w:p>
    <w:p>
      <w:pPr>
        <w:pStyle w:val="Normal"/>
        <w:spacing w:lineRule="auto" w:line="360" w:before="0" w:after="0"/>
        <w:rPr>
          <w:rFonts w:ascii="Times New Roman" w:hAnsi="Times New Roman" w:eastAsia="Times New Roman"/>
          <w:sz w:val="24"/>
          <w:szCs w:val="24"/>
        </w:rPr>
      </w:pPr>
      <w:r>
        <w:rPr>
          <w:rFonts w:eastAsia="Times New Roman" w:ascii="Times New Roman" w:hAnsi="Times New Roman"/>
          <w:sz w:val="24"/>
          <w:szCs w:val="24"/>
        </w:rPr>
        <w:t>Támogatás összege: 31.690Ft,-</w:t>
      </w:r>
    </w:p>
    <w:p>
      <w:pPr>
        <w:pStyle w:val="Normal"/>
        <w:widowControl w:val="false"/>
        <w:suppressAutoHyphens w:val="true"/>
        <w:spacing w:before="0" w:after="0"/>
        <w:textAlignment w:val="baseline"/>
        <w:rPr>
          <w:rFonts w:ascii="Times New Roman" w:hAnsi="Times New Roman" w:eastAsia="Lucida Sans Unicode" w:cs="Tahoma"/>
          <w:color w:val="FF0000"/>
          <w:sz w:val="24"/>
          <w:szCs w:val="24"/>
          <w:lang w:eastAsia="zh-CN"/>
        </w:rPr>
      </w:pPr>
      <w:r>
        <w:rPr>
          <w:rFonts w:eastAsia="Lucida Sans Unicode" w:cs="Tahoma" w:ascii="Times New Roman" w:hAnsi="Times New Roman"/>
          <w:color w:val="FF0000"/>
          <w:sz w:val="24"/>
          <w:szCs w:val="24"/>
          <w:lang w:eastAsia="zh-CN"/>
        </w:rPr>
      </w:r>
    </w:p>
    <w:p>
      <w:pPr>
        <w:pStyle w:val="Standard"/>
        <w:spacing w:lineRule="auto" w:line="360"/>
        <w:jc w:val="both"/>
        <w:rPr>
          <w:rFonts w:eastAsia="Times New Roman" w:cs="Times New Roman"/>
          <w:color w:val="000000" w:themeColor="text1"/>
        </w:rPr>
      </w:pPr>
      <w:r>
        <w:rPr>
          <w:color w:val="000000" w:themeColor="text1"/>
        </w:rPr>
        <w:t>Az alábbi táblázat szemlélteti a házi segítségnyújtás szolgáltatásának igénybevételi létszámát:</w:t>
      </w:r>
    </w:p>
    <w:p>
      <w:pPr>
        <w:pStyle w:val="Normal"/>
        <w:widowControl w:val="false"/>
        <w:suppressAutoHyphens w:val="true"/>
        <w:spacing w:before="0" w:after="0"/>
        <w:textAlignment w:val="baseline"/>
        <w:rPr>
          <w:rFonts w:ascii="Times New Roman" w:hAnsi="Times New Roman" w:eastAsia="Lucida Sans Unicode" w:cs="Tahoma"/>
          <w:color w:val="FF0000"/>
          <w:sz w:val="24"/>
          <w:szCs w:val="24"/>
          <w:lang w:eastAsia="zh-CN"/>
        </w:rPr>
      </w:pPr>
      <w:r>
        <w:rPr>
          <w:rFonts w:eastAsia="Lucida Sans Unicode" w:cs="Tahoma" w:ascii="Times New Roman" w:hAnsi="Times New Roman"/>
          <w:color w:val="FF0000"/>
          <w:sz w:val="24"/>
          <w:szCs w:val="24"/>
          <w:lang w:eastAsia="zh-CN"/>
        </w:rPr>
      </w:r>
    </w:p>
    <w:tbl>
      <w:tblPr>
        <w:tblW w:w="9806" w:type="dxa"/>
        <w:jc w:val="left"/>
        <w:tblInd w:w="-132" w:type="dxa"/>
        <w:tblBorders>
          <w:top w:val="single" w:sz="2" w:space="0" w:color="000001"/>
          <w:left w:val="single" w:sz="2" w:space="0" w:color="000001"/>
          <w:bottom w:val="single" w:sz="2" w:space="0" w:color="000001"/>
          <w:insideH w:val="single" w:sz="2" w:space="0" w:color="000001"/>
        </w:tblBorders>
        <w:tblCellMar>
          <w:top w:w="0" w:type="dxa"/>
          <w:left w:w="7" w:type="dxa"/>
          <w:bottom w:w="0" w:type="dxa"/>
          <w:right w:w="10" w:type="dxa"/>
        </w:tblCellMar>
        <w:tblLook w:firstRow="0" w:noVBand="0" w:lastRow="0" w:firstColumn="0" w:lastColumn="0" w:noHBand="0" w:val="0000"/>
      </w:tblPr>
      <w:tblGrid>
        <w:gridCol w:w="4760"/>
        <w:gridCol w:w="5045"/>
      </w:tblGrid>
      <w:tr>
        <w:trPr/>
        <w:tc>
          <w:tcPr>
            <w:tcW w:w="4760" w:type="dxa"/>
            <w:tcBorders>
              <w:top w:val="single" w:sz="2" w:space="0" w:color="000001"/>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b/>
                <w:bCs/>
                <w:sz w:val="24"/>
                <w:szCs w:val="24"/>
                <w:lang w:eastAsia="zh-CN"/>
              </w:rPr>
              <w:t>Megnevezés</w:t>
            </w:r>
          </w:p>
        </w:tc>
        <w:tc>
          <w:tcPr>
            <w:tcW w:w="50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7" w:type="dxa"/>
            </w:tcMar>
            <w:vAlign w:val="cente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b/>
                <w:bCs/>
                <w:sz w:val="24"/>
                <w:szCs w:val="24"/>
                <w:lang w:eastAsia="zh-CN"/>
              </w:rPr>
              <w:t>Ellátásban részesül (fő)</w:t>
            </w:r>
          </w:p>
        </w:tc>
      </w:tr>
      <w:tr>
        <w:trPr/>
        <w:tc>
          <w:tcPr>
            <w:tcW w:w="4760" w:type="dxa"/>
            <w:tcBorders>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napToGrid w:val="fals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2016. 12. 31-én</w:t>
            </w:r>
          </w:p>
        </w:tc>
        <w:tc>
          <w:tcPr>
            <w:tcW w:w="5045" w:type="dxa"/>
            <w:tcBorders>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29</w:t>
            </w:r>
          </w:p>
        </w:tc>
      </w:tr>
      <w:tr>
        <w:trPr/>
        <w:tc>
          <w:tcPr>
            <w:tcW w:w="4760" w:type="dxa"/>
            <w:tcBorders>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napToGrid w:val="fals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Tárgyév folyamán ellátásba vettek</w:t>
            </w:r>
          </w:p>
        </w:tc>
        <w:tc>
          <w:tcPr>
            <w:tcW w:w="5045" w:type="dxa"/>
            <w:tcBorders>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14</w:t>
            </w:r>
          </w:p>
        </w:tc>
      </w:tr>
      <w:tr>
        <w:trPr/>
        <w:tc>
          <w:tcPr>
            <w:tcW w:w="4760" w:type="dxa"/>
            <w:tcBorders>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napToGrid w:val="fals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Tárgyév folyamán ellátásból kikerültek</w:t>
            </w:r>
          </w:p>
        </w:tc>
        <w:tc>
          <w:tcPr>
            <w:tcW w:w="5045" w:type="dxa"/>
            <w:tcBorders>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10</w:t>
            </w:r>
          </w:p>
        </w:tc>
      </w:tr>
      <w:tr>
        <w:trPr/>
        <w:tc>
          <w:tcPr>
            <w:tcW w:w="4760" w:type="dxa"/>
            <w:tcBorders>
              <w:left w:val="single" w:sz="2" w:space="0" w:color="000001"/>
              <w:bottom w:val="single" w:sz="2" w:space="0" w:color="000001"/>
              <w:insideH w:val="single" w:sz="2" w:space="0" w:color="000001"/>
            </w:tcBorders>
            <w:shd w:color="auto" w:fill="auto" w:val="clear"/>
            <w:tcMar>
              <w:left w:w="7" w:type="dxa"/>
            </w:tcMar>
          </w:tcPr>
          <w:p>
            <w:pPr>
              <w:pStyle w:val="Normal"/>
              <w:widowControl w:val="false"/>
              <w:suppressLineNumbers/>
              <w:suppressAutoHyphens w:val="true"/>
              <w:snapToGrid w:val="fals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2017. 12. 31-én</w:t>
            </w:r>
          </w:p>
        </w:tc>
        <w:tc>
          <w:tcPr>
            <w:tcW w:w="5045" w:type="dxa"/>
            <w:tcBorders>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7" w:type="dxa"/>
            </w:tcMar>
          </w:tcPr>
          <w:p>
            <w:pPr>
              <w:pStyle w:val="Normal"/>
              <w:widowControl w:val="false"/>
              <w:suppressLineNumbers/>
              <w:suppressAutoHyphens w:val="true"/>
              <w:snapToGrid w:val="fals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25</w:t>
            </w:r>
          </w:p>
        </w:tc>
      </w:tr>
    </w:tbl>
    <w:p>
      <w:pPr>
        <w:pStyle w:val="Normal"/>
        <w:widowControl w:val="false"/>
        <w:suppressAutoHyphens w:val="true"/>
        <w:spacing w:before="0" w:after="0"/>
        <w:textAlignment w:val="baseline"/>
        <w:rPr>
          <w:rFonts w:ascii="Times New Roman" w:hAnsi="Times New Roman" w:eastAsia="Lucida Sans Unicode" w:cs="Tahoma"/>
          <w:color w:val="FF0000"/>
          <w:sz w:val="24"/>
          <w:szCs w:val="24"/>
          <w:lang w:eastAsia="zh-CN"/>
        </w:rPr>
      </w:pPr>
      <w:r>
        <w:rPr>
          <w:rFonts w:eastAsia="Lucida Sans Unicode" w:cs="Tahoma" w:ascii="Times New Roman" w:hAnsi="Times New Roman"/>
          <w:color w:val="FF0000"/>
          <w:sz w:val="24"/>
          <w:szCs w:val="24"/>
          <w:lang w:eastAsia="zh-CN"/>
        </w:rPr>
      </w:r>
    </w:p>
    <w:p>
      <w:pPr>
        <w:pStyle w:val="Normal"/>
        <w:widowControl w:val="false"/>
        <w:suppressAutoHyphens w:val="true"/>
        <w:spacing w:before="0" w:after="0"/>
        <w:textAlignment w:val="baseline"/>
        <w:rPr>
          <w:rFonts w:ascii="Times New Roman" w:hAnsi="Times New Roman" w:eastAsia="Lucida Sans Unicode" w:cs="Tahoma"/>
          <w:color w:val="FF0000"/>
          <w:sz w:val="24"/>
          <w:szCs w:val="24"/>
          <w:lang w:eastAsia="zh-CN"/>
        </w:rPr>
      </w:pPr>
      <w:r>
        <w:rPr>
          <w:rFonts w:eastAsia="Lucida Sans Unicode" w:cs="Tahoma" w:ascii="Times New Roman" w:hAnsi="Times New Roman"/>
          <w:color w:val="FF0000"/>
          <w:sz w:val="24"/>
          <w:szCs w:val="24"/>
          <w:lang w:eastAsia="zh-CN"/>
        </w:rPr>
      </w:r>
    </w:p>
    <w:tbl>
      <w:tblPr>
        <w:tblStyle w:val="Rcsostblzat"/>
        <w:tblW w:w="9747" w:type="dxa"/>
        <w:jc w:val="left"/>
        <w:tblInd w:w="0" w:type="dxa"/>
        <w:tblCellMar>
          <w:top w:w="0" w:type="dxa"/>
          <w:left w:w="108" w:type="dxa"/>
          <w:bottom w:w="0" w:type="dxa"/>
          <w:right w:w="108" w:type="dxa"/>
        </w:tblCellMar>
        <w:tblLook w:firstRow="1" w:noVBand="1" w:lastRow="0" w:firstColumn="1" w:lastColumn="0" w:noHBand="0" w:val="04a0"/>
      </w:tblPr>
      <w:tblGrid>
        <w:gridCol w:w="4785"/>
        <w:gridCol w:w="4961"/>
      </w:tblGrid>
      <w:tr>
        <w:trPr/>
        <w:tc>
          <w:tcPr>
            <w:tcW w:w="4785" w:type="dxa"/>
            <w:tcBorders/>
            <w:shd w:fill="auto" w:val="clear"/>
            <w:tcMar>
              <w:left w:w="108" w:type="dxa"/>
            </w:tcMar>
          </w:tcPr>
          <w:p>
            <w:pPr>
              <w:pStyle w:val="Normal"/>
              <w:spacing w:lineRule="auto" w:line="360" w:before="0" w:after="0"/>
              <w:jc w:val="center"/>
              <w:rPr>
                <w:rFonts w:ascii="Times New Roman" w:hAnsi="Times New Roman" w:eastAsia="Times New Roman"/>
                <w:b/>
                <w:b/>
                <w:sz w:val="24"/>
                <w:szCs w:val="24"/>
              </w:rPr>
            </w:pPr>
            <w:r>
              <w:rPr>
                <w:rFonts w:eastAsia="Times New Roman" w:ascii="Times New Roman" w:hAnsi="Times New Roman"/>
                <w:b/>
                <w:sz w:val="24"/>
                <w:szCs w:val="24"/>
              </w:rPr>
              <w:t>Megnevezés</w:t>
            </w:r>
          </w:p>
        </w:tc>
        <w:tc>
          <w:tcPr>
            <w:tcW w:w="4961"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Lucida Sans Unicode" w:cs="Tahoma" w:ascii="Times New Roman" w:hAnsi="Times New Roman"/>
                <w:b/>
                <w:bCs/>
                <w:sz w:val="24"/>
                <w:szCs w:val="24"/>
                <w:lang w:eastAsia="zh-CN"/>
              </w:rPr>
              <w:t>Ellátásban részesül (fő)</w:t>
            </w:r>
          </w:p>
        </w:tc>
      </w:tr>
      <w:tr>
        <w:trPr/>
        <w:tc>
          <w:tcPr>
            <w:tcW w:w="4785"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személyi gondozás</w:t>
            </w:r>
          </w:p>
        </w:tc>
        <w:tc>
          <w:tcPr>
            <w:tcW w:w="4961"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20</w:t>
            </w:r>
          </w:p>
        </w:tc>
      </w:tr>
      <w:tr>
        <w:trPr/>
        <w:tc>
          <w:tcPr>
            <w:tcW w:w="4785"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szociális segítés</w:t>
            </w:r>
          </w:p>
        </w:tc>
        <w:tc>
          <w:tcPr>
            <w:tcW w:w="4961"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5</w:t>
            </w:r>
          </w:p>
        </w:tc>
      </w:tr>
    </w:tbl>
    <w:p>
      <w:pPr>
        <w:pStyle w:val="Normal"/>
        <w:spacing w:lineRule="auto" w:line="360" w:before="0" w:after="0"/>
        <w:jc w:val="center"/>
        <w:rPr>
          <w:rFonts w:ascii="Times New Roman" w:hAnsi="Times New Roman" w:eastAsia="Times New Roman"/>
          <w:color w:val="FF0000"/>
          <w:sz w:val="24"/>
          <w:szCs w:val="24"/>
        </w:rPr>
      </w:pPr>
      <w:r>
        <w:rPr>
          <w:rFonts w:eastAsia="Times New Roman" w:ascii="Times New Roman" w:hAnsi="Times New Roman"/>
          <w:color w:val="FF0000"/>
          <w:sz w:val="24"/>
          <w:szCs w:val="24"/>
        </w:rPr>
      </w:r>
    </w:p>
    <w:p>
      <w:pPr>
        <w:pStyle w:val="Standard"/>
        <w:spacing w:lineRule="auto" w:line="360"/>
        <w:jc w:val="both"/>
        <w:rPr>
          <w:color w:val="000000" w:themeColor="text1"/>
        </w:rPr>
      </w:pPr>
      <w:r>
        <w:rPr>
          <w:color w:val="000000" w:themeColor="text1"/>
        </w:rPr>
      </w:r>
    </w:p>
    <w:p>
      <w:pPr>
        <w:pStyle w:val="Standard"/>
        <w:spacing w:lineRule="auto" w:line="360"/>
        <w:jc w:val="both"/>
        <w:rPr>
          <w:color w:val="000000" w:themeColor="text1"/>
        </w:rPr>
      </w:pPr>
      <w:r>
        <w:rPr>
          <w:color w:val="000000" w:themeColor="text1"/>
        </w:rPr>
      </w:r>
    </w:p>
    <w:p>
      <w:pPr>
        <w:pStyle w:val="Standard"/>
        <w:spacing w:lineRule="auto" w:line="360"/>
        <w:jc w:val="both"/>
        <w:rPr>
          <w:color w:val="000000" w:themeColor="text1"/>
        </w:rPr>
      </w:pPr>
      <w:r>
        <w:rPr>
          <w:color w:val="000000" w:themeColor="text1"/>
        </w:rPr>
      </w:r>
    </w:p>
    <w:p>
      <w:pPr>
        <w:pStyle w:val="Standard"/>
        <w:spacing w:lineRule="auto" w:line="360"/>
        <w:jc w:val="both"/>
        <w:rPr>
          <w:color w:val="000000" w:themeColor="text1"/>
        </w:rPr>
      </w:pPr>
      <w:r>
        <w:rPr>
          <w:color w:val="000000" w:themeColor="text1"/>
        </w:rPr>
      </w:r>
    </w:p>
    <w:p>
      <w:pPr>
        <w:pStyle w:val="Standard"/>
        <w:spacing w:lineRule="auto" w:line="360"/>
        <w:jc w:val="both"/>
        <w:rPr>
          <w:color w:val="000000" w:themeColor="text1"/>
        </w:rPr>
      </w:pPr>
      <w:r>
        <w:rPr>
          <w:color w:val="000000" w:themeColor="text1"/>
        </w:rPr>
      </w:r>
    </w:p>
    <w:p>
      <w:pPr>
        <w:pStyle w:val="Standard"/>
        <w:spacing w:lineRule="auto" w:line="360"/>
        <w:jc w:val="both"/>
        <w:rPr>
          <w:color w:val="000000" w:themeColor="text1"/>
        </w:rPr>
      </w:pPr>
      <w:r>
        <w:rPr>
          <w:color w:val="000000" w:themeColor="text1"/>
        </w:rPr>
      </w:r>
    </w:p>
    <w:p>
      <w:pPr>
        <w:pStyle w:val="Standard"/>
        <w:spacing w:lineRule="auto" w:line="360"/>
        <w:jc w:val="both"/>
        <w:rPr>
          <w:color w:val="000000" w:themeColor="text1"/>
        </w:rPr>
      </w:pPr>
      <w:r>
        <w:rPr>
          <w:color w:val="000000" w:themeColor="text1"/>
        </w:rPr>
      </w:r>
    </w:p>
    <w:p>
      <w:pPr>
        <w:pStyle w:val="Standard"/>
        <w:spacing w:lineRule="auto" w:line="360"/>
        <w:jc w:val="both"/>
        <w:rPr>
          <w:color w:val="000000" w:themeColor="text1"/>
        </w:rPr>
      </w:pPr>
      <w:r>
        <w:rPr>
          <w:color w:val="000000" w:themeColor="text1"/>
        </w:rPr>
      </w:r>
    </w:p>
    <w:p>
      <w:pPr>
        <w:pStyle w:val="Standard"/>
        <w:spacing w:lineRule="auto" w:line="360"/>
        <w:jc w:val="both"/>
        <w:rPr>
          <w:rFonts w:eastAsia="Times New Roman" w:cs="Times New Roman"/>
          <w:color w:val="000000" w:themeColor="text1"/>
        </w:rPr>
      </w:pPr>
      <w:r>
        <w:rPr>
          <w:color w:val="000000" w:themeColor="text1"/>
        </w:rPr>
        <w:t xml:space="preserve">Az alábbi táblázat szemlélteti a házi segítségnyújtás szolgáltatásának módját: </w:t>
      </w:r>
    </w:p>
    <w:p>
      <w:pPr>
        <w:pStyle w:val="Normal"/>
        <w:widowControl w:val="false"/>
        <w:suppressAutoHyphens w:val="true"/>
        <w:spacing w:before="0" w:after="0"/>
        <w:jc w:val="center"/>
        <w:textAlignment w:val="baseline"/>
        <w:rPr>
          <w:rFonts w:ascii="Times New Roman" w:hAnsi="Times New Roman" w:eastAsia="Lucida Sans Unicode" w:cs="Tahoma"/>
          <w:color w:val="FF0000"/>
          <w:sz w:val="24"/>
          <w:szCs w:val="24"/>
          <w:lang w:eastAsia="zh-CN"/>
        </w:rPr>
      </w:pPr>
      <w:r>
        <w:rPr>
          <w:rFonts w:eastAsia="Lucida Sans Unicode" w:cs="Tahoma" w:ascii="Times New Roman" w:hAnsi="Times New Roman"/>
          <w:color w:val="FF0000"/>
          <w:sz w:val="24"/>
          <w:szCs w:val="24"/>
          <w:lang w:eastAsia="zh-CN"/>
        </w:rPr>
      </w:r>
    </w:p>
    <w:tbl>
      <w:tblPr>
        <w:tblStyle w:val="Rcsostblzat"/>
        <w:tblW w:w="9747" w:type="dxa"/>
        <w:jc w:val="left"/>
        <w:tblInd w:w="0" w:type="dxa"/>
        <w:tblCellMar>
          <w:top w:w="0" w:type="dxa"/>
          <w:left w:w="108" w:type="dxa"/>
          <w:bottom w:w="0" w:type="dxa"/>
          <w:right w:w="108" w:type="dxa"/>
        </w:tblCellMar>
        <w:tblLook w:firstRow="1" w:noVBand="1" w:lastRow="0" w:firstColumn="1" w:lastColumn="0" w:noHBand="0" w:val="04a0"/>
      </w:tblPr>
      <w:tblGrid>
        <w:gridCol w:w="2802"/>
        <w:gridCol w:w="3543"/>
        <w:gridCol w:w="3402"/>
      </w:tblGrid>
      <w:tr>
        <w:trPr/>
        <w:tc>
          <w:tcPr>
            <w:tcW w:w="2802" w:type="dxa"/>
            <w:vMerge w:val="restart"/>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2017.év</w:t>
            </w:r>
          </w:p>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hónap</w:t>
            </w:r>
          </w:p>
        </w:tc>
        <w:tc>
          <w:tcPr>
            <w:tcW w:w="6945" w:type="dxa"/>
            <w:gridSpan w:val="2"/>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Házi segítségnyújtás</w:t>
            </w:r>
          </w:p>
        </w:tc>
      </w:tr>
      <w:tr>
        <w:trPr/>
        <w:tc>
          <w:tcPr>
            <w:tcW w:w="2802" w:type="dxa"/>
            <w:vMerge w:val="continue"/>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r>
          </w:p>
        </w:tc>
        <w:tc>
          <w:tcPr>
            <w:tcW w:w="354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személyi gondozás/nap</w:t>
            </w:r>
          </w:p>
        </w:tc>
        <w:tc>
          <w:tcPr>
            <w:tcW w:w="3402"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szociális segítés/nap</w:t>
            </w:r>
          </w:p>
        </w:tc>
      </w:tr>
      <w:tr>
        <w:trPr/>
        <w:tc>
          <w:tcPr>
            <w:tcW w:w="2802"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Január</w:t>
            </w:r>
          </w:p>
        </w:tc>
        <w:tc>
          <w:tcPr>
            <w:tcW w:w="354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264</w:t>
            </w:r>
          </w:p>
        </w:tc>
        <w:tc>
          <w:tcPr>
            <w:tcW w:w="3402"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60</w:t>
            </w:r>
          </w:p>
        </w:tc>
      </w:tr>
      <w:tr>
        <w:trPr/>
        <w:tc>
          <w:tcPr>
            <w:tcW w:w="2802"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Február</w:t>
            </w:r>
          </w:p>
        </w:tc>
        <w:tc>
          <w:tcPr>
            <w:tcW w:w="354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222</w:t>
            </w:r>
          </w:p>
        </w:tc>
        <w:tc>
          <w:tcPr>
            <w:tcW w:w="3402"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48</w:t>
            </w:r>
          </w:p>
        </w:tc>
      </w:tr>
      <w:tr>
        <w:trPr/>
        <w:tc>
          <w:tcPr>
            <w:tcW w:w="2802"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Március</w:t>
            </w:r>
          </w:p>
        </w:tc>
        <w:tc>
          <w:tcPr>
            <w:tcW w:w="354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245</w:t>
            </w:r>
          </w:p>
        </w:tc>
        <w:tc>
          <w:tcPr>
            <w:tcW w:w="3402"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48</w:t>
            </w:r>
          </w:p>
        </w:tc>
      </w:tr>
      <w:tr>
        <w:trPr/>
        <w:tc>
          <w:tcPr>
            <w:tcW w:w="2802"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Április</w:t>
            </w:r>
          </w:p>
        </w:tc>
        <w:tc>
          <w:tcPr>
            <w:tcW w:w="354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205</w:t>
            </w:r>
          </w:p>
        </w:tc>
        <w:tc>
          <w:tcPr>
            <w:tcW w:w="3402"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34</w:t>
            </w:r>
          </w:p>
        </w:tc>
      </w:tr>
      <w:tr>
        <w:trPr/>
        <w:tc>
          <w:tcPr>
            <w:tcW w:w="2802"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Május</w:t>
            </w:r>
          </w:p>
        </w:tc>
        <w:tc>
          <w:tcPr>
            <w:tcW w:w="354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237</w:t>
            </w:r>
          </w:p>
        </w:tc>
        <w:tc>
          <w:tcPr>
            <w:tcW w:w="3402"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54</w:t>
            </w:r>
          </w:p>
        </w:tc>
      </w:tr>
      <w:tr>
        <w:trPr/>
        <w:tc>
          <w:tcPr>
            <w:tcW w:w="2802"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Június</w:t>
            </w:r>
          </w:p>
        </w:tc>
        <w:tc>
          <w:tcPr>
            <w:tcW w:w="354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218</w:t>
            </w:r>
          </w:p>
        </w:tc>
        <w:tc>
          <w:tcPr>
            <w:tcW w:w="3402"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51</w:t>
            </w:r>
          </w:p>
        </w:tc>
      </w:tr>
      <w:tr>
        <w:trPr/>
        <w:tc>
          <w:tcPr>
            <w:tcW w:w="2802"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Július</w:t>
            </w:r>
          </w:p>
        </w:tc>
        <w:tc>
          <w:tcPr>
            <w:tcW w:w="354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213</w:t>
            </w:r>
          </w:p>
        </w:tc>
        <w:tc>
          <w:tcPr>
            <w:tcW w:w="3402"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42</w:t>
            </w:r>
          </w:p>
        </w:tc>
      </w:tr>
      <w:tr>
        <w:trPr/>
        <w:tc>
          <w:tcPr>
            <w:tcW w:w="2802"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Augusztus</w:t>
            </w:r>
          </w:p>
        </w:tc>
        <w:tc>
          <w:tcPr>
            <w:tcW w:w="354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244</w:t>
            </w:r>
          </w:p>
        </w:tc>
        <w:tc>
          <w:tcPr>
            <w:tcW w:w="3402"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46</w:t>
            </w:r>
          </w:p>
        </w:tc>
      </w:tr>
      <w:tr>
        <w:trPr/>
        <w:tc>
          <w:tcPr>
            <w:tcW w:w="2802"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Szeptember</w:t>
            </w:r>
          </w:p>
        </w:tc>
        <w:tc>
          <w:tcPr>
            <w:tcW w:w="354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224</w:t>
            </w:r>
          </w:p>
        </w:tc>
        <w:tc>
          <w:tcPr>
            <w:tcW w:w="3402"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47</w:t>
            </w:r>
          </w:p>
        </w:tc>
      </w:tr>
      <w:tr>
        <w:trPr/>
        <w:tc>
          <w:tcPr>
            <w:tcW w:w="2802"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Október</w:t>
            </w:r>
          </w:p>
        </w:tc>
        <w:tc>
          <w:tcPr>
            <w:tcW w:w="354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238</w:t>
            </w:r>
          </w:p>
        </w:tc>
        <w:tc>
          <w:tcPr>
            <w:tcW w:w="3402"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49</w:t>
            </w:r>
          </w:p>
        </w:tc>
      </w:tr>
      <w:tr>
        <w:trPr/>
        <w:tc>
          <w:tcPr>
            <w:tcW w:w="2802"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November</w:t>
            </w:r>
          </w:p>
        </w:tc>
        <w:tc>
          <w:tcPr>
            <w:tcW w:w="354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207</w:t>
            </w:r>
          </w:p>
        </w:tc>
        <w:tc>
          <w:tcPr>
            <w:tcW w:w="3402"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42</w:t>
            </w:r>
          </w:p>
        </w:tc>
      </w:tr>
      <w:tr>
        <w:trPr/>
        <w:tc>
          <w:tcPr>
            <w:tcW w:w="2802"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December</w:t>
            </w:r>
          </w:p>
        </w:tc>
        <w:tc>
          <w:tcPr>
            <w:tcW w:w="354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166</w:t>
            </w:r>
          </w:p>
        </w:tc>
        <w:tc>
          <w:tcPr>
            <w:tcW w:w="3402"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48</w:t>
            </w:r>
          </w:p>
        </w:tc>
      </w:tr>
      <w:tr>
        <w:trPr/>
        <w:tc>
          <w:tcPr>
            <w:tcW w:w="2802"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Összesen</w:t>
            </w:r>
          </w:p>
        </w:tc>
        <w:tc>
          <w:tcPr>
            <w:tcW w:w="3543"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2.683</w:t>
            </w:r>
          </w:p>
        </w:tc>
        <w:tc>
          <w:tcPr>
            <w:tcW w:w="3402" w:type="dxa"/>
            <w:tcBorders/>
            <w:shd w:fill="auto" w:val="clear"/>
            <w:tcMar>
              <w:left w:w="108" w:type="dxa"/>
            </w:tcMa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569</w:t>
            </w:r>
          </w:p>
        </w:tc>
      </w:tr>
    </w:tbl>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r>
    </w:p>
    <w:p>
      <w:pPr>
        <w:pStyle w:val="Normal"/>
        <w:spacing w:lineRule="auto" w:line="360" w:before="0" w:after="0"/>
        <w:rPr>
          <w:rFonts w:ascii="Times New Roman" w:hAnsi="Times New Roman"/>
          <w:color w:val="000000" w:themeColor="text1"/>
        </w:rPr>
      </w:pPr>
      <w:r>
        <w:rPr>
          <w:rFonts w:ascii="Times New Roman" w:hAnsi="Times New Roman"/>
          <w:color w:val="000000" w:themeColor="text1"/>
        </w:rPr>
        <w:t>Az alábbi táblázat szemlélteti az étkeztetésben részesülők kor szerinti megosztását:</w:t>
      </w:r>
    </w:p>
    <w:p>
      <w:pPr>
        <w:pStyle w:val="Normal"/>
        <w:spacing w:lineRule="auto" w:line="360" w:before="0" w:after="0"/>
        <w:rPr>
          <w:rFonts w:ascii="Times New Roman" w:hAnsi="Times New Roman" w:eastAsia="Times New Roman"/>
          <w:color w:val="FF0000"/>
          <w:szCs w:val="24"/>
          <w:u w:val="single"/>
        </w:rPr>
      </w:pPr>
      <w:r>
        <w:rPr>
          <w:rFonts w:eastAsia="Times New Roman" w:ascii="Times New Roman" w:hAnsi="Times New Roman"/>
          <w:color w:val="FF0000"/>
          <w:szCs w:val="24"/>
          <w:u w:val="single"/>
        </w:rPr>
      </w:r>
    </w:p>
    <w:tbl>
      <w:tblPr>
        <w:tblStyle w:val="Rcsostblzat"/>
        <w:tblW w:w="9747" w:type="dxa"/>
        <w:jc w:val="left"/>
        <w:tblInd w:w="0" w:type="dxa"/>
        <w:tblCellMar>
          <w:top w:w="0" w:type="dxa"/>
          <w:left w:w="108" w:type="dxa"/>
          <w:bottom w:w="0" w:type="dxa"/>
          <w:right w:w="108" w:type="dxa"/>
        </w:tblCellMar>
        <w:tblLook w:firstRow="1" w:noVBand="1" w:lastRow="0" w:firstColumn="1" w:lastColumn="0" w:noHBand="0" w:val="04a0"/>
      </w:tblPr>
      <w:tblGrid>
        <w:gridCol w:w="3070"/>
        <w:gridCol w:w="3417"/>
        <w:gridCol w:w="3260"/>
      </w:tblGrid>
      <w:tr>
        <w:trPr/>
        <w:tc>
          <w:tcPr>
            <w:tcW w:w="3070" w:type="dxa"/>
            <w:tcBorders/>
            <w:shd w:fill="auto" w:val="clear"/>
            <w:tcMar>
              <w:left w:w="108" w:type="dxa"/>
            </w:tcMar>
            <w:vAlign w:val="center"/>
          </w:tcPr>
          <w:p>
            <w:pPr>
              <w:pStyle w:val="Normal"/>
              <w:spacing w:lineRule="auto" w:line="360" w:before="0" w:after="0"/>
              <w:jc w:val="center"/>
              <w:rPr>
                <w:rFonts w:ascii="Times New Roman" w:hAnsi="Times New Roman" w:eastAsia="Times New Roman"/>
                <w:szCs w:val="24"/>
              </w:rPr>
            </w:pPr>
            <w:r>
              <w:rPr>
                <w:rFonts w:eastAsia="Times New Roman" w:ascii="Times New Roman" w:hAnsi="Times New Roman"/>
                <w:szCs w:val="24"/>
              </w:rPr>
            </w:r>
          </w:p>
          <w:p>
            <w:pPr>
              <w:pStyle w:val="Normal"/>
              <w:spacing w:lineRule="auto" w:line="360" w:before="0" w:after="0"/>
              <w:jc w:val="center"/>
              <w:rPr>
                <w:rFonts w:ascii="Times New Roman" w:hAnsi="Times New Roman" w:eastAsia="Times New Roman"/>
                <w:b/>
                <w:b/>
                <w:szCs w:val="24"/>
              </w:rPr>
            </w:pPr>
            <w:r>
              <w:rPr>
                <w:rFonts w:eastAsia="Times New Roman" w:ascii="Times New Roman" w:hAnsi="Times New Roman"/>
                <w:b/>
                <w:szCs w:val="24"/>
              </w:rPr>
              <w:t>Kor/év</w:t>
            </w:r>
          </w:p>
        </w:tc>
        <w:tc>
          <w:tcPr>
            <w:tcW w:w="3417" w:type="dxa"/>
            <w:tcBorders/>
            <w:shd w:fill="auto" w:val="clear"/>
            <w:tcMar>
              <w:left w:w="108" w:type="dxa"/>
            </w:tcMar>
            <w:vAlign w:val="center"/>
          </w:tcPr>
          <w:p>
            <w:pPr>
              <w:pStyle w:val="Normal"/>
              <w:spacing w:lineRule="auto" w:line="360" w:before="0" w:after="0"/>
              <w:jc w:val="center"/>
              <w:rPr>
                <w:rFonts w:ascii="Times New Roman" w:hAnsi="Times New Roman" w:eastAsia="Times New Roman"/>
                <w:b/>
                <w:b/>
                <w:szCs w:val="24"/>
              </w:rPr>
            </w:pPr>
            <w:r>
              <w:rPr>
                <w:rFonts w:eastAsia="Times New Roman" w:ascii="Times New Roman" w:hAnsi="Times New Roman"/>
                <w:b/>
                <w:szCs w:val="24"/>
              </w:rPr>
              <w:t>Férfi/ Fő</w:t>
            </w:r>
          </w:p>
        </w:tc>
        <w:tc>
          <w:tcPr>
            <w:tcW w:w="3260" w:type="dxa"/>
            <w:tcBorders/>
            <w:shd w:fill="auto" w:val="clear"/>
            <w:tcMar>
              <w:left w:w="108" w:type="dxa"/>
            </w:tcMar>
            <w:vAlign w:val="center"/>
          </w:tcPr>
          <w:p>
            <w:pPr>
              <w:pStyle w:val="Normal"/>
              <w:spacing w:lineRule="auto" w:line="360" w:before="0" w:after="0"/>
              <w:jc w:val="center"/>
              <w:rPr>
                <w:rFonts w:ascii="Times New Roman" w:hAnsi="Times New Roman" w:eastAsia="Times New Roman"/>
                <w:b/>
                <w:b/>
                <w:color w:val="FF0000"/>
                <w:szCs w:val="24"/>
              </w:rPr>
            </w:pPr>
            <w:r>
              <w:rPr>
                <w:rFonts w:eastAsia="Times New Roman" w:ascii="Times New Roman" w:hAnsi="Times New Roman"/>
                <w:b/>
                <w:color w:val="000000" w:themeColor="text1"/>
                <w:szCs w:val="24"/>
              </w:rPr>
              <w:t>Nő/ Fő</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30-40</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1</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_</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61-70</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1</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1</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71-80</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_</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10</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81-90</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_</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6</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90 felett</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1</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5</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b/>
                <w:b/>
                <w:sz w:val="24"/>
                <w:szCs w:val="24"/>
              </w:rPr>
            </w:pPr>
            <w:r>
              <w:rPr>
                <w:rFonts w:eastAsia="Times New Roman" w:ascii="Times New Roman" w:hAnsi="Times New Roman"/>
                <w:b/>
                <w:sz w:val="24"/>
                <w:szCs w:val="24"/>
              </w:rPr>
              <w:t>Összesen</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b/>
                <w:b/>
                <w:sz w:val="24"/>
                <w:szCs w:val="24"/>
              </w:rPr>
            </w:pPr>
            <w:r>
              <w:rPr>
                <w:rFonts w:eastAsia="Times New Roman" w:ascii="Times New Roman" w:hAnsi="Times New Roman"/>
                <w:b/>
                <w:sz w:val="24"/>
                <w:szCs w:val="24"/>
              </w:rPr>
              <w:t>3</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b/>
                <w:b/>
                <w:color w:val="000000" w:themeColor="text1"/>
                <w:sz w:val="24"/>
                <w:szCs w:val="24"/>
              </w:rPr>
            </w:pPr>
            <w:r>
              <w:rPr>
                <w:rFonts w:eastAsia="Times New Roman" w:ascii="Times New Roman" w:hAnsi="Times New Roman"/>
                <w:b/>
                <w:color w:val="000000" w:themeColor="text1"/>
                <w:sz w:val="24"/>
                <w:szCs w:val="24"/>
              </w:rPr>
              <w:t>22</w:t>
            </w:r>
          </w:p>
        </w:tc>
      </w:tr>
    </w:tbl>
    <w:p>
      <w:pPr>
        <w:pStyle w:val="Default"/>
        <w:rPr>
          <w:b/>
          <w:b/>
          <w:bCs/>
          <w:color w:val="FF0000"/>
          <w:sz w:val="28"/>
          <w:szCs w:val="28"/>
        </w:rPr>
      </w:pPr>
      <w:r>
        <w:rPr>
          <w:b/>
          <w:bCs/>
          <w:color w:val="FF0000"/>
          <w:sz w:val="28"/>
          <w:szCs w:val="28"/>
        </w:rPr>
      </w:r>
    </w:p>
    <w:p>
      <w:pPr>
        <w:pStyle w:val="Default"/>
        <w:rPr>
          <w:b/>
          <w:b/>
          <w:bCs/>
          <w:color w:val="FF0000"/>
          <w:sz w:val="28"/>
          <w:szCs w:val="28"/>
        </w:rPr>
      </w:pPr>
      <w:r>
        <w:rPr>
          <w:b/>
          <w:bCs/>
          <w:color w:val="FF0000"/>
          <w:sz w:val="28"/>
          <w:szCs w:val="28"/>
        </w:rPr>
      </w:r>
    </w:p>
    <w:p>
      <w:pPr>
        <w:pStyle w:val="Default"/>
        <w:spacing w:lineRule="auto" w:line="360"/>
        <w:rPr>
          <w:rFonts w:eastAsia="Times New Roman"/>
          <w:b/>
          <w:b/>
        </w:rPr>
      </w:pPr>
      <w:r>
        <w:rPr>
          <w:bCs/>
        </w:rPr>
        <w:t xml:space="preserve">2017-ben a házi segítségnyújtás </w:t>
      </w:r>
      <w:r>
        <w:rPr/>
        <w:t>TOP-4.2.1.</w:t>
      </w:r>
      <w:r>
        <w:rPr>
          <w:rFonts w:eastAsia="Times New Roman"/>
          <w:b/>
        </w:rPr>
        <w:t xml:space="preserve"> </w:t>
      </w:r>
      <w:r>
        <w:rPr>
          <w:bCs/>
        </w:rPr>
        <w:t>pályázaton nyert 3db felszerelt női kerékpárt, vérnyomásmérőt, vércukormérőt, porszívót, mosógépet, szárítógépet, hajszárítót, vasalót. Ezek a felszerelések megkönnyítik a dolgozók mindennapi munkáját, nagy segítséget jelentenek számukra.</w:t>
      </w:r>
    </w:p>
    <w:p>
      <w:pPr>
        <w:pStyle w:val="Default"/>
        <w:rPr>
          <w:bCs/>
          <w:u w:val="single"/>
        </w:rPr>
      </w:pPr>
      <w:r>
        <w:rPr>
          <w:bCs/>
          <w:u w:val="single"/>
        </w:rPr>
      </w:r>
    </w:p>
    <w:p>
      <w:pPr>
        <w:pStyle w:val="Default"/>
        <w:rPr>
          <w:bCs/>
          <w:u w:val="single"/>
        </w:rPr>
      </w:pPr>
      <w:r>
        <w:rPr>
          <w:bCs/>
          <w:u w:val="single"/>
        </w:rPr>
      </w:r>
    </w:p>
    <w:p>
      <w:pPr>
        <w:pStyle w:val="Default"/>
        <w:rPr>
          <w:bCs/>
          <w:u w:val="single"/>
        </w:rPr>
      </w:pPr>
      <w:r>
        <w:rPr>
          <w:bCs/>
          <w:u w:val="single"/>
        </w:rPr>
      </w:r>
    </w:p>
    <w:p>
      <w:pPr>
        <w:pStyle w:val="Default"/>
        <w:rPr>
          <w:bCs/>
          <w:u w:val="single"/>
        </w:rPr>
      </w:pPr>
      <w:r>
        <w:rPr>
          <w:bCs/>
          <w:u w:val="single"/>
        </w:rPr>
      </w:r>
    </w:p>
    <w:p>
      <w:pPr>
        <w:pStyle w:val="Default"/>
        <w:rPr>
          <w:u w:val="single"/>
        </w:rPr>
      </w:pPr>
      <w:r>
        <w:rPr>
          <w:bCs/>
          <w:u w:val="single"/>
        </w:rPr>
        <w:t xml:space="preserve">Nappali ellátás </w:t>
      </w:r>
    </w:p>
    <w:p>
      <w:pPr>
        <w:pStyle w:val="Default"/>
        <w:spacing w:lineRule="auto" w:line="360"/>
        <w:rPr>
          <w:bCs/>
        </w:rPr>
      </w:pPr>
      <w:r>
        <w:rPr>
          <w:bCs/>
        </w:rPr>
        <w:t>A nappali ellátást biztosító intézmény:</w:t>
      </w:r>
    </w:p>
    <w:p>
      <w:pPr>
        <w:pStyle w:val="Default"/>
        <w:numPr>
          <w:ilvl w:val="0"/>
          <w:numId w:val="20"/>
        </w:numPr>
        <w:spacing w:lineRule="auto" w:line="360"/>
        <w:rPr>
          <w:bCs/>
        </w:rPr>
      </w:pPr>
      <w:r>
        <w:rPr>
          <w:bCs/>
        </w:rPr>
        <w:t>az ellátást igénybe vevők részére szociális, egészségi, mentális állapotuknak megfelelő napi életritmust biztosító szolgáltatást nyújt,</w:t>
      </w:r>
    </w:p>
    <w:p>
      <w:pPr>
        <w:pStyle w:val="Default"/>
        <w:numPr>
          <w:ilvl w:val="0"/>
          <w:numId w:val="10"/>
        </w:numPr>
        <w:spacing w:lineRule="auto" w:line="360"/>
        <w:rPr>
          <w:bCs/>
        </w:rPr>
      </w:pPr>
      <w:r>
        <w:rPr>
          <w:bCs/>
        </w:rPr>
        <w:t>a helyi igényeknek megfelelő közösségi programokat szervez, valamint helyet biztosít a közösségi szervezésű programoknak, csoportoknak,</w:t>
      </w:r>
    </w:p>
    <w:p>
      <w:pPr>
        <w:pStyle w:val="Default"/>
        <w:numPr>
          <w:ilvl w:val="0"/>
          <w:numId w:val="10"/>
        </w:numPr>
        <w:spacing w:lineRule="auto" w:line="360"/>
        <w:rPr>
          <w:bCs/>
        </w:rPr>
      </w:pPr>
      <w:r>
        <w:rPr>
          <w:bCs/>
        </w:rPr>
        <w:t>biztosítja, hogy a szolgáltatás nyitott formában, az ellátotti kör és a lakosság által egyaránt elérhető módon működjön.</w:t>
      </w:r>
    </w:p>
    <w:p>
      <w:pPr>
        <w:pStyle w:val="Default"/>
        <w:spacing w:lineRule="auto" w:line="360"/>
        <w:rPr>
          <w:bCs/>
        </w:rPr>
      </w:pPr>
      <w:r>
        <w:rPr>
          <w:bCs/>
        </w:rPr>
        <w:t>Nappali ellátást biztosító intézménynek rendelkeznie kell az alábbi helyiségekkel:</w:t>
      </w:r>
    </w:p>
    <w:p>
      <w:pPr>
        <w:pStyle w:val="Default"/>
        <w:numPr>
          <w:ilvl w:val="0"/>
          <w:numId w:val="11"/>
        </w:numPr>
        <w:spacing w:lineRule="auto" w:line="360"/>
        <w:rPr>
          <w:bCs/>
        </w:rPr>
      </w:pPr>
      <w:r>
        <w:rPr>
          <w:bCs/>
        </w:rPr>
        <w:t>a közösségi együttlétre,</w:t>
      </w:r>
    </w:p>
    <w:p>
      <w:pPr>
        <w:pStyle w:val="Default"/>
        <w:numPr>
          <w:ilvl w:val="0"/>
          <w:numId w:val="11"/>
        </w:numPr>
        <w:spacing w:lineRule="auto" w:line="360"/>
        <w:rPr>
          <w:bCs/>
        </w:rPr>
      </w:pPr>
      <w:r>
        <w:rPr>
          <w:bCs/>
        </w:rPr>
        <w:t>a pihenésre,</w:t>
      </w:r>
    </w:p>
    <w:p>
      <w:pPr>
        <w:pStyle w:val="Default"/>
        <w:numPr>
          <w:ilvl w:val="0"/>
          <w:numId w:val="11"/>
        </w:numPr>
        <w:spacing w:lineRule="auto" w:line="360"/>
        <w:rPr>
          <w:bCs/>
        </w:rPr>
      </w:pPr>
      <w:r>
        <w:rPr>
          <w:bCs/>
        </w:rPr>
        <w:t>a személyi tisztálkodásra,</w:t>
      </w:r>
    </w:p>
    <w:p>
      <w:pPr>
        <w:pStyle w:val="Default"/>
        <w:numPr>
          <w:ilvl w:val="0"/>
          <w:numId w:val="11"/>
        </w:numPr>
        <w:spacing w:lineRule="auto" w:line="360"/>
        <w:rPr>
          <w:bCs/>
        </w:rPr>
      </w:pPr>
      <w:r>
        <w:rPr>
          <w:bCs/>
        </w:rPr>
        <w:t>személyes ruházat tisztítására,</w:t>
      </w:r>
    </w:p>
    <w:p>
      <w:pPr>
        <w:pStyle w:val="Default"/>
        <w:numPr>
          <w:ilvl w:val="0"/>
          <w:numId w:val="11"/>
        </w:numPr>
        <w:spacing w:lineRule="auto" w:line="360"/>
        <w:rPr>
          <w:bCs/>
        </w:rPr>
      </w:pPr>
      <w:r>
        <w:rPr>
          <w:bCs/>
        </w:rPr>
        <w:t>étel melegítésére, tálalására és elfogyasztására szolgáló helyiségekkel.</w:t>
      </w:r>
    </w:p>
    <w:p>
      <w:pPr>
        <w:pStyle w:val="Cmsor3"/>
        <w:rPr>
          <w:rFonts w:ascii="Times New Roman" w:hAnsi="Times New Roman" w:eastAsia="Times New Roman" w:cs="Times New Roman"/>
          <w:b w:val="false"/>
          <w:b w:val="false"/>
          <w:color w:val="00000A"/>
          <w:sz w:val="24"/>
          <w:szCs w:val="24"/>
        </w:rPr>
      </w:pPr>
      <w:r>
        <w:rPr>
          <w:rFonts w:cs="Times New Roman" w:ascii="Times New Roman" w:hAnsi="Times New Roman"/>
          <w:b w:val="false"/>
          <w:bCs w:val="false"/>
          <w:color w:val="00000A"/>
          <w:sz w:val="24"/>
          <w:szCs w:val="24"/>
        </w:rPr>
        <w:t xml:space="preserve">2017. február 17-étől változott </w:t>
      </w:r>
      <w:r>
        <w:rPr>
          <w:rFonts w:eastAsia="Times New Roman" w:cs="Times New Roman" w:ascii="Times New Roman" w:hAnsi="Times New Roman"/>
          <w:b w:val="false"/>
          <w:iCs/>
          <w:color w:val="00000A"/>
          <w:sz w:val="24"/>
          <w:szCs w:val="24"/>
        </w:rPr>
        <w:t>nappali ellátásban részesülők látogatási és eseménynaplója, amely szerint a következő szolgáltatásokat nyújthatók:</w:t>
      </w:r>
    </w:p>
    <w:p>
      <w:pPr>
        <w:pStyle w:val="Default"/>
        <w:numPr>
          <w:ilvl w:val="0"/>
          <w:numId w:val="12"/>
        </w:numPr>
        <w:spacing w:lineRule="auto" w:line="360"/>
        <w:rPr>
          <w:bCs/>
        </w:rPr>
      </w:pPr>
      <w:r>
        <w:rPr>
          <w:bCs/>
        </w:rPr>
        <w:t>tanácsadás,</w:t>
      </w:r>
    </w:p>
    <w:p>
      <w:pPr>
        <w:pStyle w:val="Default"/>
        <w:numPr>
          <w:ilvl w:val="0"/>
          <w:numId w:val="12"/>
        </w:numPr>
        <w:spacing w:lineRule="auto" w:line="360"/>
        <w:rPr>
          <w:bCs/>
        </w:rPr>
      </w:pPr>
      <w:r>
        <w:rPr>
          <w:bCs/>
        </w:rPr>
        <w:t>készségfejlesztés,</w:t>
      </w:r>
    </w:p>
    <w:p>
      <w:pPr>
        <w:pStyle w:val="Default"/>
        <w:numPr>
          <w:ilvl w:val="0"/>
          <w:numId w:val="12"/>
        </w:numPr>
        <w:spacing w:lineRule="auto" w:line="360"/>
        <w:rPr>
          <w:bCs/>
        </w:rPr>
      </w:pPr>
      <w:r>
        <w:rPr>
          <w:bCs/>
        </w:rPr>
        <w:t>háztartási vagy háztartást pótló segítségnyújtás,</w:t>
      </w:r>
    </w:p>
    <w:p>
      <w:pPr>
        <w:pStyle w:val="Default"/>
        <w:numPr>
          <w:ilvl w:val="0"/>
          <w:numId w:val="12"/>
        </w:numPr>
        <w:spacing w:lineRule="auto" w:line="360"/>
        <w:rPr>
          <w:bCs/>
        </w:rPr>
      </w:pPr>
      <w:r>
        <w:rPr>
          <w:bCs/>
        </w:rPr>
        <w:t>idősek nappali ellátása kivételével étkeztetés,</w:t>
      </w:r>
    </w:p>
    <w:p>
      <w:pPr>
        <w:pStyle w:val="Default"/>
        <w:numPr>
          <w:ilvl w:val="0"/>
          <w:numId w:val="12"/>
        </w:numPr>
        <w:spacing w:lineRule="auto" w:line="360"/>
        <w:rPr>
          <w:bCs/>
        </w:rPr>
      </w:pPr>
      <w:r>
        <w:rPr>
          <w:bCs/>
        </w:rPr>
        <w:t>esetkezelés,</w:t>
      </w:r>
    </w:p>
    <w:p>
      <w:pPr>
        <w:pStyle w:val="Default"/>
        <w:numPr>
          <w:ilvl w:val="0"/>
          <w:numId w:val="12"/>
        </w:numPr>
        <w:spacing w:lineRule="auto" w:line="360"/>
        <w:rPr>
          <w:bCs/>
        </w:rPr>
      </w:pPr>
      <w:r>
        <w:rPr>
          <w:bCs/>
        </w:rPr>
        <w:t>felügyelet,</w:t>
      </w:r>
    </w:p>
    <w:p>
      <w:pPr>
        <w:pStyle w:val="Default"/>
        <w:numPr>
          <w:ilvl w:val="0"/>
          <w:numId w:val="12"/>
        </w:numPr>
        <w:spacing w:lineRule="auto" w:line="360"/>
        <w:rPr>
          <w:bCs/>
        </w:rPr>
      </w:pPr>
      <w:r>
        <w:rPr>
          <w:bCs/>
        </w:rPr>
        <w:t>gondozás,</w:t>
      </w:r>
    </w:p>
    <w:p>
      <w:pPr>
        <w:pStyle w:val="Default"/>
        <w:numPr>
          <w:ilvl w:val="0"/>
          <w:numId w:val="12"/>
        </w:numPr>
        <w:spacing w:lineRule="auto" w:line="360"/>
        <w:rPr>
          <w:bCs/>
        </w:rPr>
      </w:pPr>
      <w:r>
        <w:rPr>
          <w:bCs/>
        </w:rPr>
        <w:t>közösségi fejlesztésszolgáltatási elemeket szükség szerint biztosít.</w:t>
      </w:r>
    </w:p>
    <w:p>
      <w:pPr>
        <w:pStyle w:val="Default"/>
        <w:spacing w:lineRule="auto" w:line="360"/>
        <w:rPr>
          <w:bCs/>
        </w:rPr>
      </w:pPr>
      <w:r>
        <w:rPr>
          <w:bCs/>
        </w:rPr>
        <w:t>Intézményünkben leggyakrabban esetkezelést és tanácsadást vesznek igénybe az ellátottak.</w:t>
      </w:r>
    </w:p>
    <w:p>
      <w:pPr>
        <w:pStyle w:val="Default"/>
        <w:spacing w:lineRule="auto" w:line="360"/>
        <w:rPr>
          <w:bCs/>
        </w:rPr>
      </w:pPr>
      <w:r>
        <w:rPr>
          <w:bCs/>
        </w:rPr>
      </w:r>
    </w:p>
    <w:p>
      <w:pPr>
        <w:pStyle w:val="Default"/>
        <w:spacing w:lineRule="auto" w:line="360"/>
        <w:rPr>
          <w:bCs/>
        </w:rPr>
      </w:pPr>
      <w:r>
        <w:rPr>
          <w:b/>
          <w:bCs/>
          <w:iCs/>
        </w:rPr>
        <w:t xml:space="preserve">Foglalkoztatás, programszervezés </w:t>
      </w:r>
    </w:p>
    <w:p>
      <w:pPr>
        <w:pStyle w:val="Default"/>
        <w:spacing w:lineRule="auto" w:line="360"/>
        <w:rPr>
          <w:bCs/>
        </w:rPr>
      </w:pPr>
      <w:r>
        <w:rPr>
          <w:bCs/>
        </w:rPr>
        <w:t>A foglalkozásokat a 2017-os évben is havi és éves terv alapján valósítottuk meg.</w:t>
      </w:r>
    </w:p>
    <w:p>
      <w:pPr>
        <w:pStyle w:val="Default"/>
        <w:spacing w:lineRule="auto" w:line="360"/>
        <w:rPr>
          <w:bCs/>
        </w:rPr>
      </w:pPr>
      <w:r>
        <w:rPr>
          <w:bCs/>
        </w:rPr>
        <w:t>A következő programok havi szinten jelen vannak az idősek életében.</w:t>
      </w:r>
    </w:p>
    <w:p>
      <w:pPr>
        <w:pStyle w:val="Default"/>
        <w:numPr>
          <w:ilvl w:val="0"/>
          <w:numId w:val="13"/>
        </w:numPr>
        <w:spacing w:lineRule="auto" w:line="360"/>
        <w:rPr>
          <w:bCs/>
        </w:rPr>
      </w:pPr>
      <w:r>
        <w:rPr>
          <w:bCs/>
        </w:rPr>
        <w:t>kézimunka szakkör</w:t>
      </w:r>
    </w:p>
    <w:p>
      <w:pPr>
        <w:pStyle w:val="Default"/>
        <w:numPr>
          <w:ilvl w:val="0"/>
          <w:numId w:val="13"/>
        </w:numPr>
        <w:spacing w:lineRule="auto" w:line="360"/>
        <w:rPr>
          <w:bCs/>
        </w:rPr>
      </w:pPr>
      <w:r>
        <w:rPr>
          <w:bCs/>
        </w:rPr>
        <w:t>teadélután</w:t>
      </w:r>
    </w:p>
    <w:p>
      <w:pPr>
        <w:pStyle w:val="Default"/>
        <w:numPr>
          <w:ilvl w:val="0"/>
          <w:numId w:val="13"/>
        </w:numPr>
        <w:spacing w:lineRule="auto" w:line="360"/>
        <w:rPr>
          <w:bCs/>
        </w:rPr>
      </w:pPr>
      <w:r>
        <w:rPr>
          <w:bCs/>
        </w:rPr>
        <w:t>vérnyomás, testsúly, vércukormérés</w:t>
      </w:r>
    </w:p>
    <w:p>
      <w:pPr>
        <w:pStyle w:val="Default"/>
        <w:numPr>
          <w:ilvl w:val="0"/>
          <w:numId w:val="13"/>
        </w:numPr>
        <w:spacing w:lineRule="auto" w:line="360"/>
        <w:rPr>
          <w:bCs/>
        </w:rPr>
      </w:pPr>
      <w:r>
        <w:rPr>
          <w:bCs/>
        </w:rPr>
        <w:t>beszélgetés, traccsparti, nosztalgiázás, fényképnézegetés</w:t>
      </w:r>
    </w:p>
    <w:p>
      <w:pPr>
        <w:pStyle w:val="Default"/>
        <w:numPr>
          <w:ilvl w:val="0"/>
          <w:numId w:val="13"/>
        </w:numPr>
        <w:spacing w:lineRule="auto" w:line="360"/>
        <w:rPr>
          <w:bCs/>
        </w:rPr>
      </w:pPr>
      <w:r>
        <w:rPr>
          <w:bCs/>
        </w:rPr>
        <w:t>kézműves foglalkoztatások</w:t>
      </w:r>
    </w:p>
    <w:p>
      <w:pPr>
        <w:pStyle w:val="Default"/>
        <w:numPr>
          <w:ilvl w:val="0"/>
          <w:numId w:val="13"/>
        </w:numPr>
        <w:spacing w:lineRule="auto" w:line="360"/>
        <w:rPr>
          <w:bCs/>
        </w:rPr>
      </w:pPr>
      <w:r>
        <w:rPr>
          <w:bCs/>
        </w:rPr>
        <w:t>névnaposok felköszöntése</w:t>
      </w:r>
    </w:p>
    <w:p>
      <w:pPr>
        <w:pStyle w:val="Default"/>
        <w:numPr>
          <w:ilvl w:val="0"/>
          <w:numId w:val="13"/>
        </w:numPr>
        <w:spacing w:lineRule="auto" w:line="360"/>
        <w:rPr/>
      </w:pPr>
      <w:r>
        <w:rPr>
          <w:bCs/>
        </w:rPr>
        <w:t>forró csokizás</w:t>
      </w:r>
    </w:p>
    <w:p>
      <w:pPr>
        <w:pStyle w:val="Default"/>
        <w:rPr>
          <w:bCs/>
        </w:rPr>
      </w:pPr>
      <w:r>
        <w:rPr>
          <w:bCs/>
        </w:rPr>
        <w:t>Évközi programjaink:</w:t>
      </w:r>
    </w:p>
    <w:p>
      <w:pPr>
        <w:pStyle w:val="Default"/>
        <w:spacing w:lineRule="auto" w:line="360"/>
        <w:rPr>
          <w:bCs/>
        </w:rPr>
      </w:pPr>
      <w:r>
        <w:rPr>
          <w:bCs/>
        </w:rPr>
      </w:r>
    </w:p>
    <w:p>
      <w:pPr>
        <w:pStyle w:val="Default"/>
        <w:numPr>
          <w:ilvl w:val="0"/>
          <w:numId w:val="14"/>
        </w:numPr>
        <w:spacing w:lineRule="auto" w:line="360"/>
        <w:rPr>
          <w:bCs/>
        </w:rPr>
      </w:pPr>
      <w:r>
        <w:rPr>
          <w:bCs/>
        </w:rPr>
        <w:t>Farsangi mulatság idősek és dolgozók műsorával, fánk sütéssel és tombolahúzással</w:t>
      </w:r>
    </w:p>
    <w:p>
      <w:pPr>
        <w:pStyle w:val="Default"/>
        <w:numPr>
          <w:ilvl w:val="0"/>
          <w:numId w:val="14"/>
        </w:numPr>
        <w:spacing w:lineRule="auto" w:line="360"/>
        <w:rPr>
          <w:bCs/>
        </w:rPr>
      </w:pPr>
      <w:r>
        <w:rPr>
          <w:bCs/>
        </w:rPr>
        <w:t>Nőnapi ünnepség</w:t>
      </w:r>
    </w:p>
    <w:p>
      <w:pPr>
        <w:pStyle w:val="Default"/>
        <w:numPr>
          <w:ilvl w:val="0"/>
          <w:numId w:val="14"/>
        </w:numPr>
        <w:spacing w:lineRule="auto" w:line="360"/>
        <w:rPr>
          <w:bCs/>
        </w:rPr>
      </w:pPr>
      <w:r>
        <w:rPr>
          <w:bCs/>
        </w:rPr>
        <w:t>Készülődés húsvétra</w:t>
      </w:r>
    </w:p>
    <w:p>
      <w:pPr>
        <w:pStyle w:val="Default"/>
        <w:numPr>
          <w:ilvl w:val="0"/>
          <w:numId w:val="14"/>
        </w:numPr>
        <w:spacing w:lineRule="auto" w:line="360"/>
        <w:rPr>
          <w:bCs/>
        </w:rPr>
      </w:pPr>
      <w:r>
        <w:rPr>
          <w:bCs/>
        </w:rPr>
        <w:t>Anyák napi ünnepség az óvodások részvételével</w:t>
      </w:r>
    </w:p>
    <w:p>
      <w:pPr>
        <w:pStyle w:val="Default"/>
        <w:numPr>
          <w:ilvl w:val="0"/>
          <w:numId w:val="14"/>
        </w:numPr>
        <w:spacing w:lineRule="auto" w:line="360"/>
        <w:rPr>
          <w:bCs/>
        </w:rPr>
      </w:pPr>
      <w:r>
        <w:rPr>
          <w:bCs/>
        </w:rPr>
        <w:t>Foltvarró klub munkáinak megtekintése</w:t>
      </w:r>
    </w:p>
    <w:p>
      <w:pPr>
        <w:pStyle w:val="Default"/>
        <w:numPr>
          <w:ilvl w:val="0"/>
          <w:numId w:val="14"/>
        </w:numPr>
        <w:spacing w:lineRule="auto" w:line="360"/>
        <w:rPr>
          <w:bCs/>
        </w:rPr>
      </w:pPr>
      <w:r>
        <w:rPr>
          <w:bCs/>
        </w:rPr>
        <w:t xml:space="preserve">Közös kirándulás a Szarvasi Látogató Központba </w:t>
      </w:r>
    </w:p>
    <w:p>
      <w:pPr>
        <w:pStyle w:val="Default"/>
        <w:numPr>
          <w:ilvl w:val="0"/>
          <w:numId w:val="14"/>
        </w:numPr>
        <w:spacing w:lineRule="auto" w:line="360"/>
        <w:rPr>
          <w:bCs/>
        </w:rPr>
      </w:pPr>
      <w:r>
        <w:rPr>
          <w:bCs/>
        </w:rPr>
        <w:t>Huszár Ildikó előadása a cukorbetegségről</w:t>
      </w:r>
    </w:p>
    <w:p>
      <w:pPr>
        <w:pStyle w:val="Default"/>
        <w:numPr>
          <w:ilvl w:val="0"/>
          <w:numId w:val="14"/>
        </w:numPr>
        <w:spacing w:lineRule="auto" w:line="360"/>
        <w:rPr>
          <w:bCs/>
        </w:rPr>
      </w:pPr>
      <w:r>
        <w:rPr>
          <w:bCs/>
        </w:rPr>
        <w:t xml:space="preserve">Kirándulás Békésszentandrásra, hajókázás, sörfőzde meglátogatása </w:t>
      </w:r>
    </w:p>
    <w:p>
      <w:pPr>
        <w:pStyle w:val="Default"/>
        <w:numPr>
          <w:ilvl w:val="0"/>
          <w:numId w:val="14"/>
        </w:numPr>
        <w:spacing w:lineRule="auto" w:line="360"/>
        <w:rPr>
          <w:bCs/>
        </w:rPr>
      </w:pPr>
      <w:r>
        <w:rPr>
          <w:bCs/>
        </w:rPr>
        <w:t>Szalonnasütés, bográcsozás</w:t>
      </w:r>
    </w:p>
    <w:p>
      <w:pPr>
        <w:pStyle w:val="Default"/>
        <w:numPr>
          <w:ilvl w:val="0"/>
          <w:numId w:val="14"/>
        </w:numPr>
        <w:spacing w:lineRule="auto" w:line="360"/>
        <w:rPr>
          <w:bCs/>
        </w:rPr>
      </w:pPr>
      <w:r>
        <w:rPr>
          <w:bCs/>
        </w:rPr>
        <w:t>Dr Szabó József előadása az érrendszeri betegségekről</w:t>
      </w:r>
    </w:p>
    <w:p>
      <w:pPr>
        <w:pStyle w:val="Default"/>
        <w:numPr>
          <w:ilvl w:val="0"/>
          <w:numId w:val="14"/>
        </w:numPr>
        <w:spacing w:lineRule="auto" w:line="360"/>
        <w:rPr>
          <w:bCs/>
        </w:rPr>
      </w:pPr>
      <w:r>
        <w:rPr>
          <w:bCs/>
        </w:rPr>
        <w:t>Kirándulás Gyopárosfürdőre, fagyizás</w:t>
      </w:r>
    </w:p>
    <w:p>
      <w:pPr>
        <w:pStyle w:val="Default"/>
        <w:numPr>
          <w:ilvl w:val="0"/>
          <w:numId w:val="14"/>
        </w:numPr>
        <w:spacing w:lineRule="auto" w:line="360"/>
        <w:rPr>
          <w:bCs/>
        </w:rPr>
      </w:pPr>
      <w:r>
        <w:rPr>
          <w:bCs/>
        </w:rPr>
        <w:t>Idősek Otthona megnyitásának 25 éves születésnapja</w:t>
      </w:r>
    </w:p>
    <w:p>
      <w:pPr>
        <w:pStyle w:val="Default"/>
        <w:numPr>
          <w:ilvl w:val="0"/>
          <w:numId w:val="14"/>
        </w:numPr>
        <w:spacing w:lineRule="auto" w:line="360"/>
        <w:rPr>
          <w:bCs/>
        </w:rPr>
      </w:pPr>
      <w:r>
        <w:rPr>
          <w:bCs/>
        </w:rPr>
        <w:t>Idősek Napi ünnepség, óvodások és az idősek fellépésével</w:t>
      </w:r>
    </w:p>
    <w:p>
      <w:pPr>
        <w:pStyle w:val="Default"/>
        <w:numPr>
          <w:ilvl w:val="0"/>
          <w:numId w:val="14"/>
        </w:numPr>
        <w:spacing w:lineRule="auto" w:line="360"/>
        <w:rPr>
          <w:bCs/>
        </w:rPr>
      </w:pPr>
      <w:r>
        <w:rPr>
          <w:bCs/>
        </w:rPr>
        <w:t>Orosháza Petőfi Művelődési Központban festmény kiállítás megnézése</w:t>
      </w:r>
    </w:p>
    <w:p>
      <w:pPr>
        <w:pStyle w:val="Default"/>
        <w:numPr>
          <w:ilvl w:val="0"/>
          <w:numId w:val="14"/>
        </w:numPr>
        <w:spacing w:lineRule="auto" w:line="360"/>
        <w:rPr>
          <w:bCs/>
        </w:rPr>
      </w:pPr>
      <w:r>
        <w:rPr>
          <w:bCs/>
        </w:rPr>
        <w:t xml:space="preserve">Községi Idősek Napi ünnepségen való részvétel </w:t>
      </w:r>
    </w:p>
    <w:p>
      <w:pPr>
        <w:pStyle w:val="Default"/>
        <w:numPr>
          <w:ilvl w:val="0"/>
          <w:numId w:val="14"/>
        </w:numPr>
        <w:spacing w:lineRule="auto" w:line="360"/>
        <w:rPr>
          <w:bCs/>
        </w:rPr>
      </w:pPr>
      <w:r>
        <w:rPr>
          <w:bCs/>
        </w:rPr>
        <w:t xml:space="preserve">Halottak napi megemlékezés, </w:t>
      </w:r>
    </w:p>
    <w:p>
      <w:pPr>
        <w:pStyle w:val="Default"/>
        <w:numPr>
          <w:ilvl w:val="0"/>
          <w:numId w:val="15"/>
        </w:numPr>
        <w:spacing w:lineRule="auto" w:line="360"/>
        <w:rPr>
          <w:bCs/>
        </w:rPr>
      </w:pPr>
      <w:r>
        <w:rPr>
          <w:bCs/>
        </w:rPr>
        <w:t>Adventi koszorúkészítés, majd hetente gyertyagyújtás</w:t>
      </w:r>
    </w:p>
    <w:p>
      <w:pPr>
        <w:pStyle w:val="Default"/>
        <w:numPr>
          <w:ilvl w:val="0"/>
          <w:numId w:val="16"/>
        </w:numPr>
        <w:spacing w:lineRule="auto" w:line="360"/>
        <w:rPr>
          <w:bCs/>
        </w:rPr>
      </w:pPr>
      <w:r>
        <w:rPr>
          <w:bCs/>
        </w:rPr>
        <w:t>Óvodába jártunk és meglátogattuk a nagycsoportos gyerekeket, mikuláscsomagot vittünk</w:t>
      </w:r>
    </w:p>
    <w:p>
      <w:pPr>
        <w:pStyle w:val="Default"/>
        <w:numPr>
          <w:ilvl w:val="0"/>
          <w:numId w:val="16"/>
        </w:numPr>
        <w:spacing w:lineRule="auto" w:line="360"/>
        <w:rPr>
          <w:bCs/>
        </w:rPr>
      </w:pPr>
      <w:r>
        <w:rPr>
          <w:bCs/>
        </w:rPr>
        <w:t>Karácsonyi bevásárlás az Orosházi Tescóba</w:t>
      </w:r>
    </w:p>
    <w:p>
      <w:pPr>
        <w:pStyle w:val="Default"/>
        <w:numPr>
          <w:ilvl w:val="0"/>
          <w:numId w:val="16"/>
        </w:numPr>
        <w:spacing w:lineRule="auto" w:line="360"/>
        <w:rPr>
          <w:bCs/>
        </w:rPr>
      </w:pPr>
      <w:r>
        <w:rPr>
          <w:bCs/>
        </w:rPr>
        <w:t xml:space="preserve">Karácsonyi ünnepség az óvodások előadásával, majd ajándékozás </w:t>
      </w:r>
    </w:p>
    <w:p>
      <w:pPr>
        <w:pStyle w:val="Default"/>
        <w:spacing w:lineRule="auto" w:line="360"/>
        <w:rPr>
          <w:bCs/>
          <w:i/>
          <w:i/>
        </w:rPr>
      </w:pPr>
      <w:r>
        <w:rPr>
          <w:bCs/>
          <w:i/>
        </w:rPr>
      </w:r>
    </w:p>
    <w:p>
      <w:pPr>
        <w:pStyle w:val="Default"/>
        <w:spacing w:lineRule="auto" w:line="360"/>
        <w:jc w:val="both"/>
        <w:rPr/>
      </w:pPr>
      <w:r>
        <w:rPr/>
        <w:t xml:space="preserve">Az integrált intézmény előnyét kihasználva a bentlakásos részlegen élő időseket is bevontuk programjainkba. Az év folyamán több közös rendezvényt szerveztünk. </w:t>
      </w:r>
    </w:p>
    <w:p>
      <w:pPr>
        <w:pStyle w:val="Standard"/>
        <w:spacing w:lineRule="auto" w:line="360"/>
        <w:jc w:val="both"/>
        <w:rPr>
          <w:color w:val="000000"/>
        </w:rPr>
      </w:pPr>
      <w:r>
        <w:rPr>
          <w:color w:val="000000"/>
        </w:rPr>
        <w:t>A klub rendezvényei bensőségesek, jó hangulatúak, szinte családiasak. Mozgásukban akadályozott klubtagjainkat az intézmény kisbusza szállítja a foglalkozásokra.</w:t>
      </w:r>
    </w:p>
    <w:p>
      <w:pPr>
        <w:pStyle w:val="Standard"/>
        <w:spacing w:lineRule="auto" w:line="360"/>
        <w:jc w:val="both"/>
        <w:rPr>
          <w:color w:val="000000"/>
        </w:rPr>
      </w:pPr>
      <w:r>
        <w:rPr>
          <w:color w:val="000000"/>
        </w:rPr>
        <w:t xml:space="preserve">A klub havi programját meghirdetjük a helyi kábel televízión, a program ki van helyezve a klubhelyiségben, valamint tájékoztató füzetet kapnak gondozottjaink. </w:t>
      </w:r>
    </w:p>
    <w:p>
      <w:pPr>
        <w:pStyle w:val="Standard"/>
        <w:spacing w:lineRule="auto" w:line="360"/>
        <w:jc w:val="both"/>
        <w:rPr/>
      </w:pPr>
      <w:r>
        <w:rPr/>
      </w:r>
    </w:p>
    <w:p>
      <w:pPr>
        <w:pStyle w:val="Standard"/>
        <w:spacing w:lineRule="auto" w:line="360"/>
        <w:jc w:val="both"/>
        <w:rPr/>
      </w:pPr>
      <w:r>
        <w:rPr/>
        <w:t>Az Idősek Klubjában térítési díjat fizetni nem kell a Gádoros Nagyközség Önkormányzata Képviselő-testülete 3/2015. (III.26.) önkormányzati rendelete szerint.</w:t>
      </w:r>
    </w:p>
    <w:p>
      <w:pPr>
        <w:pStyle w:val="Normal"/>
        <w:widowControl w:val="false"/>
        <w:suppressAutoHyphens w:val="true"/>
        <w:spacing w:lineRule="auto" w:line="360" w:before="0" w:after="0"/>
        <w:textAlignment w:val="baseline"/>
        <w:rPr>
          <w:rFonts w:ascii="Times New Roman" w:hAnsi="Times New Roman" w:eastAsia="Lucida Sans Unicode" w:cs="Tahoma"/>
          <w:b/>
          <w:b/>
          <w:bCs/>
          <w:sz w:val="24"/>
          <w:szCs w:val="24"/>
          <w:lang w:eastAsia="zh-CN"/>
        </w:rPr>
      </w:pPr>
      <w:r>
        <w:rPr>
          <w:rFonts w:eastAsia="Lucida Sans Unicode" w:cs="Tahoma" w:ascii="Times New Roman" w:hAnsi="Times New Roman"/>
          <w:b/>
          <w:bCs/>
          <w:sz w:val="24"/>
          <w:szCs w:val="24"/>
          <w:lang w:eastAsia="zh-CN"/>
        </w:rPr>
        <w:t>Nappali ellátásban jelenleg részesül: 32 fő</w:t>
      </w:r>
    </w:p>
    <w:p>
      <w:pPr>
        <w:pStyle w:val="Standard"/>
        <w:spacing w:lineRule="auto" w:line="360"/>
        <w:rPr>
          <w:b/>
          <w:b/>
          <w:bCs/>
        </w:rPr>
      </w:pPr>
      <w:r>
        <w:rPr/>
        <w:t>2017. év átlag ellátotti létszám: 13fő</w:t>
      </w:r>
    </w:p>
    <w:p>
      <w:pPr>
        <w:pStyle w:val="Standard"/>
        <w:spacing w:lineRule="auto" w:line="360"/>
        <w:jc w:val="both"/>
        <w:rPr/>
      </w:pPr>
      <w:r>
        <w:rPr/>
      </w:r>
    </w:p>
    <w:p>
      <w:pPr>
        <w:pStyle w:val="Standard"/>
        <w:spacing w:lineRule="auto" w:line="360"/>
        <w:jc w:val="both"/>
        <w:rPr>
          <w:rFonts w:eastAsia="Times New Roman" w:cs="Times New Roman"/>
          <w:color w:val="000000" w:themeColor="text1"/>
        </w:rPr>
      </w:pPr>
      <w:r>
        <w:rPr>
          <w:color w:val="000000" w:themeColor="text1"/>
        </w:rPr>
        <w:t>Az alábbi táblázat szemlélteti a nappali ellátás igénylési létszámát:</w:t>
      </w:r>
    </w:p>
    <w:p>
      <w:pPr>
        <w:pStyle w:val="Standard"/>
        <w:jc w:val="both"/>
        <w:rPr>
          <w:b/>
          <w:b/>
          <w:bCs/>
          <w:color w:val="FF0000"/>
        </w:rPr>
      </w:pPr>
      <w:r>
        <w:rPr>
          <w:b/>
          <w:bCs/>
          <w:color w:val="FF0000"/>
        </w:rPr>
      </w:r>
    </w:p>
    <w:tbl>
      <w:tblPr>
        <w:tblW w:w="9664" w:type="dxa"/>
        <w:jc w:val="left"/>
        <w:tblInd w:w="10" w:type="dxa"/>
        <w:tblBorders>
          <w:top w:val="single" w:sz="2" w:space="0" w:color="000001"/>
          <w:left w:val="single" w:sz="2" w:space="0" w:color="000001"/>
          <w:bottom w:val="single" w:sz="2" w:space="0" w:color="000001"/>
          <w:insideH w:val="single" w:sz="2" w:space="0" w:color="000001"/>
        </w:tblBorders>
        <w:tblCellMar>
          <w:top w:w="0" w:type="dxa"/>
          <w:left w:w="7" w:type="dxa"/>
          <w:bottom w:w="0" w:type="dxa"/>
          <w:right w:w="10" w:type="dxa"/>
        </w:tblCellMar>
        <w:tblLook w:firstRow="1" w:noVBand="1" w:lastRow="0" w:firstColumn="1" w:lastColumn="0" w:noHBand="0" w:val="04a0"/>
      </w:tblPr>
      <w:tblGrid>
        <w:gridCol w:w="4618"/>
        <w:gridCol w:w="5045"/>
      </w:tblGrid>
      <w:tr>
        <w:trPr/>
        <w:tc>
          <w:tcPr>
            <w:tcW w:w="4618" w:type="dxa"/>
            <w:tcBorders>
              <w:top w:val="single" w:sz="2" w:space="0" w:color="000001"/>
              <w:left w:val="single" w:sz="2" w:space="0" w:color="000001"/>
              <w:bottom w:val="single" w:sz="2" w:space="0" w:color="000001"/>
              <w:insideH w:val="single" w:sz="2" w:space="0" w:color="000001"/>
            </w:tcBorders>
            <w:shd w:fill="auto" w:val="clear"/>
            <w:tcMar>
              <w:left w:w="7" w:type="dxa"/>
            </w:tcMar>
          </w:tcPr>
          <w:p>
            <w:pPr>
              <w:pStyle w:val="Normal"/>
              <w:widowControl w:val="false"/>
              <w:suppressAutoHyphens w:val="true"/>
              <w:spacing w:beforeAutospacing="1" w:after="200"/>
              <w:jc w:val="center"/>
              <w:rPr>
                <w:rFonts w:ascii="Times New Roman" w:hAnsi="Times New Roman"/>
                <w:b/>
                <w:b/>
                <w:sz w:val="24"/>
                <w:szCs w:val="24"/>
              </w:rPr>
            </w:pPr>
            <w:r>
              <w:rPr>
                <w:rFonts w:ascii="Times New Roman" w:hAnsi="Times New Roman"/>
                <w:b/>
                <w:sz w:val="24"/>
                <w:szCs w:val="24"/>
              </w:rPr>
            </w:r>
          </w:p>
          <w:p>
            <w:pPr>
              <w:pStyle w:val="Normal"/>
              <w:widowControl w:val="false"/>
              <w:suppressAutoHyphens w:val="true"/>
              <w:spacing w:beforeAutospacing="1" w:after="120"/>
              <w:jc w:val="center"/>
              <w:rPr>
                <w:rFonts w:ascii="Times New Roman" w:hAnsi="Times New Roman" w:eastAsia="Lucida Sans Unicode"/>
                <w:b/>
                <w:b/>
                <w:sz w:val="24"/>
                <w:szCs w:val="24"/>
                <w:lang w:eastAsia="zh-CN"/>
              </w:rPr>
            </w:pPr>
            <w:r>
              <w:rPr>
                <w:rFonts w:ascii="Times New Roman" w:hAnsi="Times New Roman"/>
                <w:b/>
                <w:sz w:val="24"/>
                <w:szCs w:val="24"/>
              </w:rPr>
              <w:t>Megnevezés</w:t>
            </w:r>
          </w:p>
        </w:tc>
        <w:tc>
          <w:tcPr>
            <w:tcW w:w="50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vAlign w:val="center"/>
          </w:tcPr>
          <w:p>
            <w:pPr>
              <w:pStyle w:val="Tblzattartalom"/>
              <w:snapToGrid w:val="false"/>
              <w:jc w:val="center"/>
              <w:rPr/>
            </w:pPr>
            <w:r>
              <w:rPr>
                <w:b/>
                <w:bCs/>
              </w:rPr>
              <w:t>Idősek Klubja létszám (fő)</w:t>
            </w:r>
          </w:p>
        </w:tc>
      </w:tr>
      <w:tr>
        <w:trPr/>
        <w:tc>
          <w:tcPr>
            <w:tcW w:w="4618" w:type="dxa"/>
            <w:tcBorders>
              <w:left w:val="single" w:sz="2" w:space="0" w:color="000001"/>
              <w:bottom w:val="single" w:sz="2" w:space="0" w:color="000001"/>
              <w:insideH w:val="single" w:sz="2" w:space="0" w:color="000001"/>
            </w:tcBorders>
            <w:shd w:fill="auto" w:val="clear"/>
            <w:tcMar>
              <w:left w:w="7" w:type="dxa"/>
            </w:tcMar>
            <w:vAlign w:val="center"/>
          </w:tcPr>
          <w:p>
            <w:pPr>
              <w:pStyle w:val="Tblzattartalom"/>
              <w:snapToGrid w:val="false"/>
              <w:jc w:val="center"/>
              <w:rPr/>
            </w:pPr>
            <w:r>
              <w:rPr/>
              <w:t>2016.12.31. létszám</w:t>
            </w:r>
          </w:p>
          <w:p>
            <w:pPr>
              <w:pStyle w:val="Tblzattartalom"/>
              <w:snapToGrid w:val="false"/>
              <w:jc w:val="center"/>
              <w:rPr/>
            </w:pPr>
            <w:r>
              <w:rPr/>
            </w:r>
          </w:p>
        </w:tc>
        <w:tc>
          <w:tcPr>
            <w:tcW w:w="5045"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tcPr>
          <w:p>
            <w:pPr>
              <w:pStyle w:val="Tblzattartalom"/>
              <w:snapToGrid w:val="false"/>
              <w:jc w:val="center"/>
              <w:rPr/>
            </w:pPr>
            <w:r>
              <w:rPr/>
              <w:t>26</w:t>
            </w:r>
          </w:p>
        </w:tc>
      </w:tr>
      <w:tr>
        <w:trPr>
          <w:trHeight w:val="461" w:hRule="atLeast"/>
        </w:trPr>
        <w:tc>
          <w:tcPr>
            <w:tcW w:w="4618" w:type="dxa"/>
            <w:tcBorders>
              <w:left w:val="single" w:sz="2" w:space="0" w:color="000001"/>
              <w:bottom w:val="single" w:sz="2" w:space="0" w:color="000001"/>
              <w:insideH w:val="single" w:sz="2" w:space="0" w:color="000001"/>
            </w:tcBorders>
            <w:shd w:fill="auto" w:val="clear"/>
            <w:tcMar>
              <w:left w:w="7" w:type="dxa"/>
            </w:tcMar>
            <w:vAlign w:val="center"/>
          </w:tcPr>
          <w:p>
            <w:pPr>
              <w:pStyle w:val="Tblzattartalom"/>
              <w:snapToGrid w:val="false"/>
              <w:jc w:val="center"/>
              <w:rPr/>
            </w:pPr>
            <w:r>
              <w:rPr/>
              <w:t>Tárgyév folyamán ellátásba vettek</w:t>
            </w:r>
          </w:p>
          <w:p>
            <w:pPr>
              <w:pStyle w:val="Tblzattartalom"/>
              <w:snapToGrid w:val="false"/>
              <w:jc w:val="center"/>
              <w:rPr/>
            </w:pPr>
            <w:r>
              <w:rPr/>
            </w:r>
          </w:p>
        </w:tc>
        <w:tc>
          <w:tcPr>
            <w:tcW w:w="5045"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tcPr>
          <w:p>
            <w:pPr>
              <w:pStyle w:val="Tblzattartalom"/>
              <w:snapToGrid w:val="false"/>
              <w:jc w:val="center"/>
              <w:rPr/>
            </w:pPr>
            <w:r>
              <w:rPr/>
              <w:t>8</w:t>
            </w:r>
          </w:p>
        </w:tc>
      </w:tr>
      <w:tr>
        <w:trPr/>
        <w:tc>
          <w:tcPr>
            <w:tcW w:w="4618" w:type="dxa"/>
            <w:tcBorders>
              <w:left w:val="single" w:sz="2" w:space="0" w:color="000001"/>
              <w:bottom w:val="single" w:sz="2" w:space="0" w:color="000001"/>
              <w:insideH w:val="single" w:sz="2" w:space="0" w:color="000001"/>
            </w:tcBorders>
            <w:shd w:fill="auto" w:val="clear"/>
            <w:tcMar>
              <w:left w:w="7" w:type="dxa"/>
            </w:tcMar>
            <w:vAlign w:val="center"/>
          </w:tcPr>
          <w:p>
            <w:pPr>
              <w:pStyle w:val="Tblzattartalom"/>
              <w:snapToGrid w:val="false"/>
              <w:jc w:val="center"/>
              <w:rPr/>
            </w:pPr>
            <w:r>
              <w:rPr/>
              <w:t>Tárgyév folyamán ellátásból kikerültek</w:t>
            </w:r>
          </w:p>
          <w:p>
            <w:pPr>
              <w:pStyle w:val="Tblzattartalom"/>
              <w:snapToGrid w:val="false"/>
              <w:jc w:val="center"/>
              <w:rPr/>
            </w:pPr>
            <w:r>
              <w:rPr/>
            </w:r>
          </w:p>
        </w:tc>
        <w:tc>
          <w:tcPr>
            <w:tcW w:w="5045"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tcPr>
          <w:p>
            <w:pPr>
              <w:pStyle w:val="Tblzattartalom"/>
              <w:snapToGrid w:val="false"/>
              <w:jc w:val="center"/>
              <w:rPr/>
            </w:pPr>
            <w:r>
              <w:rPr/>
              <w:t>2</w:t>
            </w:r>
          </w:p>
        </w:tc>
      </w:tr>
      <w:tr>
        <w:trPr/>
        <w:tc>
          <w:tcPr>
            <w:tcW w:w="4618" w:type="dxa"/>
            <w:tcBorders>
              <w:left w:val="single" w:sz="2" w:space="0" w:color="000001"/>
              <w:bottom w:val="single" w:sz="2" w:space="0" w:color="000001"/>
              <w:insideH w:val="single" w:sz="2" w:space="0" w:color="000001"/>
            </w:tcBorders>
            <w:shd w:fill="auto" w:val="clear"/>
            <w:tcMar>
              <w:left w:w="7" w:type="dxa"/>
            </w:tcMar>
            <w:vAlign w:val="center"/>
          </w:tcPr>
          <w:p>
            <w:pPr>
              <w:pStyle w:val="Normal"/>
              <w:widowControl w:val="false"/>
              <w:suppressAutoHyphens w:val="true"/>
              <w:snapToGrid w:val="false"/>
              <w:spacing w:before="0" w:after="200"/>
              <w:jc w:val="center"/>
              <w:rPr>
                <w:rFonts w:ascii="Times New Roman" w:hAnsi="Times New Roman" w:eastAsia="Lucida Sans Unicode"/>
                <w:sz w:val="24"/>
                <w:szCs w:val="24"/>
                <w:lang w:eastAsia="zh-CN"/>
              </w:rPr>
            </w:pPr>
            <w:r>
              <w:rPr>
                <w:rFonts w:eastAsia="Lucida Sans Unicode" w:ascii="Times New Roman" w:hAnsi="Times New Roman"/>
                <w:sz w:val="24"/>
                <w:szCs w:val="24"/>
                <w:lang w:eastAsia="zh-CN"/>
              </w:rPr>
              <w:t>2017.12.31. létszám</w:t>
            </w:r>
          </w:p>
        </w:tc>
        <w:tc>
          <w:tcPr>
            <w:tcW w:w="5045"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tcPr>
          <w:p>
            <w:pPr>
              <w:pStyle w:val="Tblzattartalom"/>
              <w:snapToGrid w:val="false"/>
              <w:jc w:val="center"/>
              <w:rPr/>
            </w:pPr>
            <w:r>
              <w:rPr/>
              <w:t>32</w:t>
            </w:r>
          </w:p>
        </w:tc>
      </w:tr>
    </w:tbl>
    <w:p>
      <w:pPr>
        <w:pStyle w:val="Standard"/>
        <w:spacing w:lineRule="auto" w:line="360"/>
        <w:rPr/>
      </w:pPr>
      <w:r>
        <w:rPr/>
      </w:r>
    </w:p>
    <w:p>
      <w:pPr>
        <w:pStyle w:val="Standard"/>
        <w:spacing w:lineRule="auto" w:line="360"/>
        <w:jc w:val="center"/>
        <w:rPr/>
      </w:pPr>
      <w:r>
        <w:rPr/>
      </w:r>
    </w:p>
    <w:p>
      <w:pPr>
        <w:pStyle w:val="Standard"/>
        <w:spacing w:lineRule="auto" w:line="360"/>
        <w:rPr>
          <w:b/>
          <w:b/>
          <w:bCs/>
        </w:rPr>
      </w:pPr>
      <w:r>
        <w:rPr>
          <w:b/>
          <w:bCs/>
        </w:rPr>
      </w:r>
    </w:p>
    <w:p>
      <w:pPr>
        <w:pStyle w:val="Normal"/>
        <w:spacing w:lineRule="auto" w:line="360" w:before="0" w:after="0"/>
        <w:rPr>
          <w:rFonts w:ascii="Times New Roman" w:hAnsi="Times New Roman"/>
          <w:color w:val="000000" w:themeColor="text1"/>
        </w:rPr>
      </w:pPr>
      <w:r>
        <w:rPr>
          <w:rFonts w:ascii="Times New Roman" w:hAnsi="Times New Roman"/>
          <w:color w:val="000000" w:themeColor="text1"/>
        </w:rPr>
        <w:t xml:space="preserve"> </w:t>
      </w:r>
      <w:r>
        <w:rPr>
          <w:rFonts w:ascii="Times New Roman" w:hAnsi="Times New Roman"/>
          <w:color w:val="000000" w:themeColor="text1"/>
        </w:rPr>
        <w:t>Az alábbi táblázat szemlélteti a nappali ellátásban részesülők kor szerinti megosztását:</w:t>
      </w:r>
    </w:p>
    <w:p>
      <w:pPr>
        <w:pStyle w:val="Normal"/>
        <w:spacing w:lineRule="auto" w:line="360" w:before="0" w:after="0"/>
        <w:rPr>
          <w:rFonts w:ascii="Times New Roman" w:hAnsi="Times New Roman" w:eastAsia="Times New Roman"/>
          <w:color w:val="FF0000"/>
          <w:szCs w:val="24"/>
          <w:u w:val="single"/>
        </w:rPr>
      </w:pPr>
      <w:r>
        <w:rPr>
          <w:rFonts w:eastAsia="Times New Roman" w:ascii="Times New Roman" w:hAnsi="Times New Roman"/>
          <w:color w:val="FF0000"/>
          <w:szCs w:val="24"/>
          <w:u w:val="single"/>
        </w:rPr>
      </w:r>
    </w:p>
    <w:tbl>
      <w:tblPr>
        <w:tblStyle w:val="Rcsostblzat"/>
        <w:tblW w:w="9747" w:type="dxa"/>
        <w:jc w:val="left"/>
        <w:tblInd w:w="0" w:type="dxa"/>
        <w:tblCellMar>
          <w:top w:w="0" w:type="dxa"/>
          <w:left w:w="108" w:type="dxa"/>
          <w:bottom w:w="0" w:type="dxa"/>
          <w:right w:w="108" w:type="dxa"/>
        </w:tblCellMar>
        <w:tblLook w:firstRow="1" w:noVBand="1" w:lastRow="0" w:firstColumn="1" w:lastColumn="0" w:noHBand="0" w:val="04a0"/>
      </w:tblPr>
      <w:tblGrid>
        <w:gridCol w:w="3070"/>
        <w:gridCol w:w="3417"/>
        <w:gridCol w:w="3260"/>
      </w:tblGrid>
      <w:tr>
        <w:trPr/>
        <w:tc>
          <w:tcPr>
            <w:tcW w:w="3070" w:type="dxa"/>
            <w:tcBorders/>
            <w:shd w:fill="auto" w:val="clear"/>
            <w:tcMar>
              <w:left w:w="108" w:type="dxa"/>
            </w:tcMar>
            <w:vAlign w:val="center"/>
          </w:tcPr>
          <w:p>
            <w:pPr>
              <w:pStyle w:val="Normal"/>
              <w:spacing w:lineRule="auto" w:line="360" w:before="0" w:after="0"/>
              <w:jc w:val="center"/>
              <w:rPr>
                <w:rFonts w:ascii="Times New Roman" w:hAnsi="Times New Roman" w:eastAsia="Times New Roman"/>
                <w:szCs w:val="24"/>
              </w:rPr>
            </w:pPr>
            <w:r>
              <w:rPr>
                <w:rFonts w:eastAsia="Times New Roman" w:ascii="Times New Roman" w:hAnsi="Times New Roman"/>
                <w:szCs w:val="24"/>
              </w:rPr>
            </w:r>
          </w:p>
          <w:p>
            <w:pPr>
              <w:pStyle w:val="Normal"/>
              <w:spacing w:lineRule="auto" w:line="360" w:before="0" w:after="0"/>
              <w:jc w:val="center"/>
              <w:rPr>
                <w:rFonts w:ascii="Times New Roman" w:hAnsi="Times New Roman" w:eastAsia="Times New Roman"/>
                <w:b/>
                <w:b/>
                <w:szCs w:val="24"/>
              </w:rPr>
            </w:pPr>
            <w:r>
              <w:rPr>
                <w:rFonts w:eastAsia="Times New Roman" w:ascii="Times New Roman" w:hAnsi="Times New Roman"/>
                <w:b/>
                <w:szCs w:val="24"/>
              </w:rPr>
              <w:t>Kor/év</w:t>
            </w:r>
          </w:p>
        </w:tc>
        <w:tc>
          <w:tcPr>
            <w:tcW w:w="3417" w:type="dxa"/>
            <w:tcBorders/>
            <w:shd w:fill="auto" w:val="clear"/>
            <w:tcMar>
              <w:left w:w="108" w:type="dxa"/>
            </w:tcMar>
            <w:vAlign w:val="center"/>
          </w:tcPr>
          <w:p>
            <w:pPr>
              <w:pStyle w:val="Normal"/>
              <w:spacing w:lineRule="auto" w:line="360" w:before="0" w:after="0"/>
              <w:jc w:val="center"/>
              <w:rPr>
                <w:rFonts w:ascii="Times New Roman" w:hAnsi="Times New Roman" w:eastAsia="Times New Roman"/>
                <w:b/>
                <w:b/>
                <w:szCs w:val="24"/>
              </w:rPr>
            </w:pPr>
            <w:r>
              <w:rPr>
                <w:rFonts w:eastAsia="Times New Roman" w:ascii="Times New Roman" w:hAnsi="Times New Roman"/>
                <w:b/>
                <w:szCs w:val="24"/>
              </w:rPr>
              <w:t>Férfi/ Fő</w:t>
            </w:r>
          </w:p>
        </w:tc>
        <w:tc>
          <w:tcPr>
            <w:tcW w:w="3260" w:type="dxa"/>
            <w:tcBorders/>
            <w:shd w:fill="auto" w:val="clear"/>
            <w:tcMar>
              <w:left w:w="108" w:type="dxa"/>
            </w:tcMar>
            <w:vAlign w:val="center"/>
          </w:tcPr>
          <w:p>
            <w:pPr>
              <w:pStyle w:val="Normal"/>
              <w:spacing w:lineRule="auto" w:line="360" w:before="0" w:after="0"/>
              <w:jc w:val="center"/>
              <w:rPr>
                <w:rFonts w:ascii="Times New Roman" w:hAnsi="Times New Roman" w:eastAsia="Times New Roman"/>
                <w:b/>
                <w:b/>
                <w:color w:val="FF0000"/>
                <w:szCs w:val="24"/>
              </w:rPr>
            </w:pPr>
            <w:r>
              <w:rPr>
                <w:rFonts w:eastAsia="Times New Roman" w:ascii="Times New Roman" w:hAnsi="Times New Roman"/>
                <w:b/>
                <w:color w:val="000000" w:themeColor="text1"/>
                <w:szCs w:val="24"/>
              </w:rPr>
              <w:t>Nő/ Fő</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40-50</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u w:val="single"/>
              </w:rPr>
            </w:pPr>
            <w:r>
              <w:rPr>
                <w:rFonts w:eastAsia="Times New Roman" w:ascii="Times New Roman" w:hAnsi="Times New Roman"/>
                <w:sz w:val="24"/>
                <w:szCs w:val="24"/>
                <w:u w:val="single"/>
              </w:rPr>
              <w:t>_</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1</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51-60</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_</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3</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61-70</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2</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14</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71-80</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1</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8</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81-90</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_</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3</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90 felett</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sz w:val="24"/>
                <w:szCs w:val="24"/>
              </w:rPr>
            </w:pPr>
            <w:r>
              <w:rPr>
                <w:rFonts w:eastAsia="Times New Roman" w:ascii="Times New Roman" w:hAnsi="Times New Roman"/>
                <w:sz w:val="24"/>
                <w:szCs w:val="24"/>
              </w:rPr>
              <w:t>_</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color w:val="000000" w:themeColor="text1"/>
                <w:sz w:val="24"/>
                <w:szCs w:val="24"/>
              </w:rPr>
            </w:pPr>
            <w:r>
              <w:rPr>
                <w:rFonts w:eastAsia="Times New Roman" w:ascii="Times New Roman" w:hAnsi="Times New Roman"/>
                <w:color w:val="000000" w:themeColor="text1"/>
                <w:sz w:val="24"/>
                <w:szCs w:val="24"/>
              </w:rPr>
              <w:t>_</w:t>
            </w:r>
          </w:p>
        </w:tc>
      </w:tr>
      <w:tr>
        <w:trPr/>
        <w:tc>
          <w:tcPr>
            <w:tcW w:w="3070" w:type="dxa"/>
            <w:tcBorders/>
            <w:shd w:fill="auto" w:val="clear"/>
            <w:tcMar>
              <w:left w:w="108" w:type="dxa"/>
            </w:tcMar>
          </w:tcPr>
          <w:p>
            <w:pPr>
              <w:pStyle w:val="Normal"/>
              <w:spacing w:lineRule="auto" w:line="360" w:before="0" w:after="0"/>
              <w:jc w:val="center"/>
              <w:rPr>
                <w:rFonts w:ascii="Times New Roman" w:hAnsi="Times New Roman" w:eastAsia="Times New Roman"/>
                <w:b/>
                <w:b/>
                <w:sz w:val="24"/>
                <w:szCs w:val="24"/>
              </w:rPr>
            </w:pPr>
            <w:r>
              <w:rPr>
                <w:rFonts w:eastAsia="Times New Roman" w:ascii="Times New Roman" w:hAnsi="Times New Roman"/>
                <w:b/>
                <w:sz w:val="24"/>
                <w:szCs w:val="24"/>
              </w:rPr>
              <w:t>Összesen</w:t>
            </w:r>
          </w:p>
        </w:tc>
        <w:tc>
          <w:tcPr>
            <w:tcW w:w="3417" w:type="dxa"/>
            <w:tcBorders/>
            <w:shd w:fill="auto" w:val="clear"/>
            <w:tcMar>
              <w:left w:w="108" w:type="dxa"/>
            </w:tcMar>
          </w:tcPr>
          <w:p>
            <w:pPr>
              <w:pStyle w:val="Normal"/>
              <w:spacing w:lineRule="auto" w:line="360" w:before="0" w:after="0"/>
              <w:jc w:val="center"/>
              <w:rPr>
                <w:rFonts w:ascii="Times New Roman" w:hAnsi="Times New Roman" w:eastAsia="Times New Roman"/>
                <w:b/>
                <w:b/>
                <w:sz w:val="24"/>
                <w:szCs w:val="24"/>
              </w:rPr>
            </w:pPr>
            <w:r>
              <w:rPr>
                <w:rFonts w:eastAsia="Times New Roman" w:ascii="Times New Roman" w:hAnsi="Times New Roman"/>
                <w:b/>
                <w:sz w:val="24"/>
                <w:szCs w:val="24"/>
              </w:rPr>
              <w:t>3</w:t>
            </w:r>
          </w:p>
        </w:tc>
        <w:tc>
          <w:tcPr>
            <w:tcW w:w="3260" w:type="dxa"/>
            <w:tcBorders/>
            <w:shd w:fill="auto" w:val="clear"/>
            <w:tcMar>
              <w:left w:w="108" w:type="dxa"/>
            </w:tcMar>
          </w:tcPr>
          <w:p>
            <w:pPr>
              <w:pStyle w:val="Normal"/>
              <w:spacing w:lineRule="auto" w:line="360" w:before="0" w:after="0"/>
              <w:jc w:val="center"/>
              <w:rPr>
                <w:rFonts w:ascii="Times New Roman" w:hAnsi="Times New Roman" w:eastAsia="Times New Roman"/>
                <w:b/>
                <w:b/>
                <w:color w:val="000000" w:themeColor="text1"/>
                <w:sz w:val="24"/>
                <w:szCs w:val="24"/>
              </w:rPr>
            </w:pPr>
            <w:r>
              <w:rPr>
                <w:rFonts w:eastAsia="Times New Roman" w:ascii="Times New Roman" w:hAnsi="Times New Roman"/>
                <w:b/>
                <w:color w:val="000000" w:themeColor="text1"/>
                <w:sz w:val="24"/>
                <w:szCs w:val="24"/>
              </w:rPr>
              <w:t>29</w:t>
            </w:r>
          </w:p>
        </w:tc>
      </w:tr>
    </w:tbl>
    <w:p>
      <w:pPr>
        <w:pStyle w:val="Standard"/>
        <w:spacing w:lineRule="auto" w:line="360"/>
        <w:rPr/>
      </w:pPr>
      <w:r>
        <w:rPr/>
      </w:r>
    </w:p>
    <w:p>
      <w:pPr>
        <w:pStyle w:val="Normal"/>
        <w:spacing w:lineRule="auto" w:line="360" w:before="0" w:after="0"/>
        <w:rPr>
          <w:rFonts w:ascii="Times New Roman" w:hAnsi="Times New Roman"/>
          <w:color w:val="000000" w:themeColor="text1"/>
        </w:rPr>
      </w:pPr>
      <w:r>
        <w:rPr>
          <w:rFonts w:ascii="Times New Roman" w:hAnsi="Times New Roman"/>
          <w:color w:val="000000" w:themeColor="text1"/>
        </w:rPr>
      </w:r>
    </w:p>
    <w:p>
      <w:pPr>
        <w:pStyle w:val="Normal"/>
        <w:spacing w:lineRule="auto" w:line="360" w:before="0" w:after="0"/>
        <w:rPr>
          <w:rFonts w:ascii="Times New Roman" w:hAnsi="Times New Roman"/>
          <w:color w:val="000000" w:themeColor="text1"/>
        </w:rPr>
      </w:pPr>
      <w:r>
        <w:rPr>
          <w:rFonts w:ascii="Times New Roman" w:hAnsi="Times New Roman"/>
          <w:color w:val="000000" w:themeColor="text1"/>
        </w:rPr>
      </w:r>
    </w:p>
    <w:p>
      <w:pPr>
        <w:pStyle w:val="Normal"/>
        <w:spacing w:lineRule="auto" w:line="360" w:before="0" w:after="0"/>
        <w:rPr>
          <w:rFonts w:ascii="Times New Roman" w:hAnsi="Times New Roman"/>
          <w:color w:val="000000" w:themeColor="text1"/>
        </w:rPr>
      </w:pPr>
      <w:r>
        <w:rPr>
          <w:rFonts w:ascii="Times New Roman" w:hAnsi="Times New Roman"/>
          <w:color w:val="000000" w:themeColor="text1"/>
        </w:rPr>
      </w:r>
    </w:p>
    <w:p>
      <w:pPr>
        <w:pStyle w:val="Normal"/>
        <w:spacing w:lineRule="auto" w:line="360" w:before="0" w:after="0"/>
        <w:rPr>
          <w:rFonts w:ascii="Times New Roman" w:hAnsi="Times New Roman"/>
          <w:color w:val="000000" w:themeColor="text1"/>
        </w:rPr>
      </w:pPr>
      <w:r>
        <w:rPr/>
      </w:r>
    </w:p>
    <w:p>
      <w:pPr>
        <w:pStyle w:val="Normal"/>
        <w:spacing w:lineRule="auto" w:line="360" w:before="0" w:after="0"/>
        <w:rPr>
          <w:rFonts w:ascii="Times New Roman" w:hAnsi="Times New Roman"/>
          <w:color w:val="000000" w:themeColor="text1"/>
        </w:rPr>
      </w:pPr>
      <w:r>
        <w:rPr/>
      </w:r>
    </w:p>
    <w:p>
      <w:pPr>
        <w:pStyle w:val="Normal"/>
        <w:spacing w:lineRule="auto" w:line="360" w:before="0" w:after="0"/>
        <w:rPr>
          <w:rFonts w:ascii="Times New Roman" w:hAnsi="Times New Roman"/>
          <w:color w:val="000000" w:themeColor="text1"/>
        </w:rPr>
      </w:pPr>
      <w:r>
        <w:rPr/>
      </w:r>
    </w:p>
    <w:p>
      <w:pPr>
        <w:pStyle w:val="Normal"/>
        <w:spacing w:lineRule="auto" w:line="360" w:before="0" w:after="0"/>
        <w:rPr>
          <w:rFonts w:ascii="Times New Roman" w:hAnsi="Times New Roman"/>
          <w:color w:val="000000" w:themeColor="text1"/>
        </w:rPr>
      </w:pPr>
      <w:r>
        <w:rPr/>
      </w:r>
    </w:p>
    <w:p>
      <w:pPr>
        <w:pStyle w:val="Normal"/>
        <w:spacing w:lineRule="auto" w:line="360" w:before="0" w:after="0"/>
        <w:rPr>
          <w:rFonts w:ascii="Times New Roman" w:hAnsi="Times New Roman"/>
          <w:color w:val="000000" w:themeColor="text1"/>
        </w:rPr>
      </w:pPr>
      <w:r>
        <w:rPr/>
      </w:r>
    </w:p>
    <w:p>
      <w:pPr>
        <w:pStyle w:val="Normal"/>
        <w:spacing w:lineRule="auto" w:line="360" w:before="0" w:after="0"/>
        <w:rPr>
          <w:rFonts w:ascii="Times New Roman" w:hAnsi="Times New Roman"/>
          <w:color w:val="000000" w:themeColor="text1"/>
        </w:rPr>
      </w:pPr>
      <w:r>
        <w:rPr/>
      </w:r>
    </w:p>
    <w:p>
      <w:pPr>
        <w:pStyle w:val="Normal"/>
        <w:spacing w:lineRule="auto" w:line="360" w:before="0" w:after="0"/>
        <w:rPr>
          <w:rFonts w:ascii="Times New Roman" w:hAnsi="Times New Roman"/>
          <w:color w:val="000000" w:themeColor="text1"/>
        </w:rPr>
      </w:pPr>
      <w:r>
        <w:rPr>
          <w:rFonts w:ascii="Times New Roman" w:hAnsi="Times New Roman"/>
          <w:color w:val="000000" w:themeColor="text1"/>
        </w:rPr>
        <w:t>Az alábbi táblázat szemlélteti a nappali ellátásban részesülők havi megosztását:</w:t>
      </w:r>
    </w:p>
    <w:p>
      <w:pPr>
        <w:pStyle w:val="Default"/>
        <w:rPr>
          <w:b/>
          <w:b/>
          <w:bCs/>
          <w:color w:val="FF0000"/>
          <w:sz w:val="28"/>
          <w:szCs w:val="28"/>
        </w:rPr>
      </w:pPr>
      <w:r>
        <w:rPr>
          <w:b/>
          <w:bCs/>
          <w:color w:val="FF0000"/>
          <w:sz w:val="28"/>
          <w:szCs w:val="28"/>
        </w:rPr>
      </w:r>
    </w:p>
    <w:tbl>
      <w:tblPr>
        <w:tblStyle w:val="Rcsostblzat"/>
        <w:tblW w:w="9747" w:type="dxa"/>
        <w:jc w:val="left"/>
        <w:tblInd w:w="0" w:type="dxa"/>
        <w:tblCellMar>
          <w:top w:w="0" w:type="dxa"/>
          <w:left w:w="108" w:type="dxa"/>
          <w:bottom w:w="0" w:type="dxa"/>
          <w:right w:w="108" w:type="dxa"/>
        </w:tblCellMar>
        <w:tblLook w:firstRow="1" w:noVBand="1" w:lastRow="0" w:firstColumn="1" w:lastColumn="0" w:noHBand="0" w:val="04a0"/>
      </w:tblPr>
      <w:tblGrid>
        <w:gridCol w:w="5353"/>
        <w:gridCol w:w="4393"/>
      </w:tblGrid>
      <w:tr>
        <w:trPr/>
        <w:tc>
          <w:tcPr>
            <w:tcW w:w="5353" w:type="dxa"/>
            <w:tcBorders/>
            <w:shd w:fill="auto" w:val="clear"/>
            <w:tcMar>
              <w:left w:w="108" w:type="dxa"/>
            </w:tcMar>
            <w:vAlign w:val="center"/>
          </w:tcPr>
          <w:p>
            <w:pPr>
              <w:pStyle w:val="Default"/>
              <w:jc w:val="center"/>
              <w:rPr>
                <w:b/>
                <w:b/>
                <w:bCs/>
                <w:color w:val="00000A"/>
                <w:sz w:val="28"/>
                <w:szCs w:val="28"/>
              </w:rPr>
            </w:pPr>
            <w:r>
              <w:rPr>
                <w:b/>
                <w:bCs/>
                <w:color w:val="00000A"/>
                <w:sz w:val="28"/>
                <w:szCs w:val="28"/>
              </w:rPr>
              <w:t>2017. év</w:t>
            </w:r>
          </w:p>
          <w:p>
            <w:pPr>
              <w:pStyle w:val="Default"/>
              <w:jc w:val="center"/>
              <w:rPr>
                <w:b/>
                <w:b/>
                <w:bCs/>
                <w:color w:val="00000A"/>
                <w:sz w:val="28"/>
                <w:szCs w:val="28"/>
              </w:rPr>
            </w:pPr>
            <w:r>
              <w:rPr>
                <w:b/>
                <w:bCs/>
                <w:color w:val="00000A"/>
                <w:sz w:val="28"/>
                <w:szCs w:val="28"/>
              </w:rPr>
            </w:r>
          </w:p>
        </w:tc>
        <w:tc>
          <w:tcPr>
            <w:tcW w:w="4393" w:type="dxa"/>
            <w:tcBorders/>
            <w:shd w:fill="auto" w:val="clear"/>
            <w:tcMar>
              <w:left w:w="108" w:type="dxa"/>
            </w:tcMar>
            <w:vAlign w:val="center"/>
          </w:tcPr>
          <w:p>
            <w:pPr>
              <w:pStyle w:val="Default"/>
              <w:jc w:val="center"/>
              <w:rPr>
                <w:b/>
                <w:b/>
                <w:bCs/>
                <w:color w:val="FF0000"/>
                <w:sz w:val="28"/>
                <w:szCs w:val="28"/>
              </w:rPr>
            </w:pPr>
            <w:r>
              <w:rPr>
                <w:b/>
                <w:bCs/>
                <w:color w:val="000000" w:themeColor="text1"/>
                <w:sz w:val="28"/>
                <w:szCs w:val="28"/>
              </w:rPr>
              <w:t>Hó/Fő</w:t>
            </w:r>
          </w:p>
        </w:tc>
      </w:tr>
      <w:tr>
        <w:trPr/>
        <w:tc>
          <w:tcPr>
            <w:tcW w:w="5353"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Január</w:t>
            </w:r>
          </w:p>
        </w:tc>
        <w:tc>
          <w:tcPr>
            <w:tcW w:w="4393" w:type="dxa"/>
            <w:tcBorders/>
            <w:shd w:fill="auto" w:val="clear"/>
            <w:tcMar>
              <w:left w:w="108" w:type="dxa"/>
            </w:tcMar>
            <w:vAlign w:val="center"/>
          </w:tcPr>
          <w:p>
            <w:pPr>
              <w:pStyle w:val="Default"/>
              <w:jc w:val="center"/>
              <w:rPr>
                <w:bCs/>
                <w:color w:val="00000A"/>
                <w:sz w:val="28"/>
                <w:szCs w:val="28"/>
              </w:rPr>
            </w:pPr>
            <w:r>
              <w:rPr>
                <w:bCs/>
                <w:color w:val="00000A"/>
                <w:sz w:val="28"/>
                <w:szCs w:val="28"/>
              </w:rPr>
              <w:t>331</w:t>
            </w:r>
          </w:p>
        </w:tc>
      </w:tr>
      <w:tr>
        <w:trPr/>
        <w:tc>
          <w:tcPr>
            <w:tcW w:w="5353"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Február</w:t>
            </w:r>
          </w:p>
        </w:tc>
        <w:tc>
          <w:tcPr>
            <w:tcW w:w="4393" w:type="dxa"/>
            <w:tcBorders/>
            <w:shd w:fill="auto" w:val="clear"/>
            <w:tcMar>
              <w:left w:w="108" w:type="dxa"/>
            </w:tcMar>
            <w:vAlign w:val="center"/>
          </w:tcPr>
          <w:p>
            <w:pPr>
              <w:pStyle w:val="Default"/>
              <w:jc w:val="center"/>
              <w:rPr>
                <w:bCs/>
                <w:color w:val="00000A"/>
                <w:sz w:val="28"/>
                <w:szCs w:val="28"/>
              </w:rPr>
            </w:pPr>
            <w:r>
              <w:rPr>
                <w:bCs/>
                <w:color w:val="00000A"/>
                <w:sz w:val="28"/>
                <w:szCs w:val="28"/>
              </w:rPr>
              <w:t>312</w:t>
            </w:r>
          </w:p>
        </w:tc>
      </w:tr>
      <w:tr>
        <w:trPr/>
        <w:tc>
          <w:tcPr>
            <w:tcW w:w="5353"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Március</w:t>
            </w:r>
          </w:p>
        </w:tc>
        <w:tc>
          <w:tcPr>
            <w:tcW w:w="4393" w:type="dxa"/>
            <w:tcBorders/>
            <w:shd w:fill="auto" w:val="clear"/>
            <w:tcMar>
              <w:left w:w="108" w:type="dxa"/>
            </w:tcMar>
            <w:vAlign w:val="center"/>
          </w:tcPr>
          <w:p>
            <w:pPr>
              <w:pStyle w:val="Default"/>
              <w:jc w:val="center"/>
              <w:rPr>
                <w:bCs/>
                <w:color w:val="00000A"/>
                <w:sz w:val="28"/>
                <w:szCs w:val="28"/>
              </w:rPr>
            </w:pPr>
            <w:r>
              <w:rPr>
                <w:bCs/>
                <w:color w:val="00000A"/>
                <w:sz w:val="28"/>
                <w:szCs w:val="28"/>
              </w:rPr>
              <w:t>332</w:t>
            </w:r>
          </w:p>
        </w:tc>
      </w:tr>
      <w:tr>
        <w:trPr/>
        <w:tc>
          <w:tcPr>
            <w:tcW w:w="5353"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Április</w:t>
            </w:r>
          </w:p>
        </w:tc>
        <w:tc>
          <w:tcPr>
            <w:tcW w:w="4393" w:type="dxa"/>
            <w:tcBorders/>
            <w:shd w:fill="auto" w:val="clear"/>
            <w:tcMar>
              <w:left w:w="108" w:type="dxa"/>
            </w:tcMar>
            <w:vAlign w:val="center"/>
          </w:tcPr>
          <w:p>
            <w:pPr>
              <w:pStyle w:val="Default"/>
              <w:jc w:val="center"/>
              <w:rPr>
                <w:bCs/>
                <w:color w:val="00000A"/>
                <w:sz w:val="28"/>
                <w:szCs w:val="28"/>
              </w:rPr>
            </w:pPr>
            <w:r>
              <w:rPr>
                <w:bCs/>
                <w:color w:val="00000A"/>
                <w:sz w:val="28"/>
                <w:szCs w:val="28"/>
              </w:rPr>
              <w:t>273</w:t>
            </w:r>
          </w:p>
        </w:tc>
      </w:tr>
      <w:tr>
        <w:trPr/>
        <w:tc>
          <w:tcPr>
            <w:tcW w:w="5353"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Május</w:t>
            </w:r>
          </w:p>
        </w:tc>
        <w:tc>
          <w:tcPr>
            <w:tcW w:w="4393" w:type="dxa"/>
            <w:tcBorders/>
            <w:shd w:fill="auto" w:val="clear"/>
            <w:tcMar>
              <w:left w:w="108" w:type="dxa"/>
            </w:tcMar>
            <w:vAlign w:val="center"/>
          </w:tcPr>
          <w:p>
            <w:pPr>
              <w:pStyle w:val="Default"/>
              <w:jc w:val="center"/>
              <w:rPr>
                <w:bCs/>
                <w:color w:val="00000A"/>
                <w:sz w:val="28"/>
                <w:szCs w:val="28"/>
              </w:rPr>
            </w:pPr>
            <w:r>
              <w:rPr>
                <w:bCs/>
                <w:color w:val="00000A"/>
                <w:sz w:val="28"/>
                <w:szCs w:val="28"/>
              </w:rPr>
              <w:t>278</w:t>
            </w:r>
          </w:p>
        </w:tc>
      </w:tr>
      <w:tr>
        <w:trPr/>
        <w:tc>
          <w:tcPr>
            <w:tcW w:w="5353"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Június</w:t>
            </w:r>
          </w:p>
        </w:tc>
        <w:tc>
          <w:tcPr>
            <w:tcW w:w="4393" w:type="dxa"/>
            <w:tcBorders/>
            <w:shd w:fill="auto" w:val="clear"/>
            <w:tcMar>
              <w:left w:w="108" w:type="dxa"/>
            </w:tcMar>
            <w:vAlign w:val="center"/>
          </w:tcPr>
          <w:p>
            <w:pPr>
              <w:pStyle w:val="Default"/>
              <w:jc w:val="center"/>
              <w:rPr>
                <w:bCs/>
                <w:color w:val="00000A"/>
                <w:sz w:val="28"/>
                <w:szCs w:val="28"/>
              </w:rPr>
            </w:pPr>
            <w:r>
              <w:rPr>
                <w:bCs/>
                <w:color w:val="00000A"/>
                <w:sz w:val="28"/>
                <w:szCs w:val="28"/>
              </w:rPr>
              <w:t>216</w:t>
            </w:r>
          </w:p>
        </w:tc>
      </w:tr>
      <w:tr>
        <w:trPr/>
        <w:tc>
          <w:tcPr>
            <w:tcW w:w="5353"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Július</w:t>
            </w:r>
          </w:p>
        </w:tc>
        <w:tc>
          <w:tcPr>
            <w:tcW w:w="4393" w:type="dxa"/>
            <w:tcBorders/>
            <w:shd w:fill="auto" w:val="clear"/>
            <w:tcMar>
              <w:left w:w="108" w:type="dxa"/>
            </w:tcMar>
            <w:vAlign w:val="center"/>
          </w:tcPr>
          <w:p>
            <w:pPr>
              <w:pStyle w:val="Default"/>
              <w:jc w:val="center"/>
              <w:rPr>
                <w:bCs/>
                <w:color w:val="00000A"/>
                <w:sz w:val="28"/>
                <w:szCs w:val="28"/>
              </w:rPr>
            </w:pPr>
            <w:r>
              <w:rPr>
                <w:bCs/>
                <w:color w:val="00000A"/>
                <w:sz w:val="28"/>
                <w:szCs w:val="28"/>
              </w:rPr>
              <w:t>313</w:t>
            </w:r>
          </w:p>
        </w:tc>
      </w:tr>
      <w:tr>
        <w:trPr/>
        <w:tc>
          <w:tcPr>
            <w:tcW w:w="5353"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Augusztus</w:t>
            </w:r>
          </w:p>
        </w:tc>
        <w:tc>
          <w:tcPr>
            <w:tcW w:w="4393" w:type="dxa"/>
            <w:tcBorders/>
            <w:shd w:fill="auto" w:val="clear"/>
            <w:tcMar>
              <w:left w:w="108" w:type="dxa"/>
            </w:tcMar>
            <w:vAlign w:val="center"/>
          </w:tcPr>
          <w:p>
            <w:pPr>
              <w:pStyle w:val="Default"/>
              <w:jc w:val="center"/>
              <w:rPr>
                <w:bCs/>
                <w:color w:val="00000A"/>
                <w:sz w:val="28"/>
                <w:szCs w:val="28"/>
              </w:rPr>
            </w:pPr>
            <w:r>
              <w:rPr>
                <w:bCs/>
                <w:color w:val="00000A"/>
                <w:sz w:val="28"/>
                <w:szCs w:val="28"/>
              </w:rPr>
              <w:t>258</w:t>
            </w:r>
          </w:p>
        </w:tc>
      </w:tr>
      <w:tr>
        <w:trPr/>
        <w:tc>
          <w:tcPr>
            <w:tcW w:w="5353"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Szeptember</w:t>
            </w:r>
          </w:p>
        </w:tc>
        <w:tc>
          <w:tcPr>
            <w:tcW w:w="4393" w:type="dxa"/>
            <w:tcBorders/>
            <w:shd w:fill="auto" w:val="clear"/>
            <w:tcMar>
              <w:left w:w="108" w:type="dxa"/>
            </w:tcMar>
            <w:vAlign w:val="center"/>
          </w:tcPr>
          <w:p>
            <w:pPr>
              <w:pStyle w:val="Default"/>
              <w:jc w:val="center"/>
              <w:rPr>
                <w:bCs/>
                <w:color w:val="00000A"/>
                <w:sz w:val="28"/>
                <w:szCs w:val="28"/>
              </w:rPr>
            </w:pPr>
            <w:r>
              <w:rPr>
                <w:bCs/>
                <w:color w:val="00000A"/>
                <w:sz w:val="28"/>
                <w:szCs w:val="28"/>
              </w:rPr>
              <w:t>261</w:t>
            </w:r>
          </w:p>
        </w:tc>
      </w:tr>
      <w:tr>
        <w:trPr/>
        <w:tc>
          <w:tcPr>
            <w:tcW w:w="5353"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Október</w:t>
            </w:r>
          </w:p>
        </w:tc>
        <w:tc>
          <w:tcPr>
            <w:tcW w:w="4393" w:type="dxa"/>
            <w:tcBorders/>
            <w:shd w:fill="auto" w:val="clear"/>
            <w:tcMar>
              <w:left w:w="108" w:type="dxa"/>
            </w:tcMar>
            <w:vAlign w:val="center"/>
          </w:tcPr>
          <w:p>
            <w:pPr>
              <w:pStyle w:val="Default"/>
              <w:jc w:val="center"/>
              <w:rPr>
                <w:bCs/>
                <w:color w:val="00000A"/>
                <w:sz w:val="28"/>
                <w:szCs w:val="28"/>
              </w:rPr>
            </w:pPr>
            <w:r>
              <w:rPr>
                <w:bCs/>
                <w:color w:val="00000A"/>
                <w:sz w:val="28"/>
                <w:szCs w:val="28"/>
              </w:rPr>
              <w:t>299</w:t>
            </w:r>
          </w:p>
        </w:tc>
      </w:tr>
      <w:tr>
        <w:trPr/>
        <w:tc>
          <w:tcPr>
            <w:tcW w:w="5353"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November</w:t>
            </w:r>
          </w:p>
        </w:tc>
        <w:tc>
          <w:tcPr>
            <w:tcW w:w="4393" w:type="dxa"/>
            <w:tcBorders/>
            <w:shd w:fill="auto" w:val="clear"/>
            <w:tcMar>
              <w:left w:w="108" w:type="dxa"/>
            </w:tcMar>
            <w:vAlign w:val="center"/>
          </w:tcPr>
          <w:p>
            <w:pPr>
              <w:pStyle w:val="Default"/>
              <w:jc w:val="center"/>
              <w:rPr>
                <w:bCs/>
                <w:color w:val="00000A"/>
                <w:sz w:val="28"/>
                <w:szCs w:val="28"/>
              </w:rPr>
            </w:pPr>
            <w:r>
              <w:rPr>
                <w:bCs/>
                <w:color w:val="00000A"/>
                <w:sz w:val="28"/>
                <w:szCs w:val="28"/>
              </w:rPr>
              <w:t>201</w:t>
            </w:r>
          </w:p>
        </w:tc>
      </w:tr>
      <w:tr>
        <w:trPr/>
        <w:tc>
          <w:tcPr>
            <w:tcW w:w="5353"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December</w:t>
            </w:r>
          </w:p>
        </w:tc>
        <w:tc>
          <w:tcPr>
            <w:tcW w:w="4393" w:type="dxa"/>
            <w:tcBorders/>
            <w:shd w:fill="auto" w:val="clear"/>
            <w:tcMar>
              <w:left w:w="108" w:type="dxa"/>
            </w:tcMar>
            <w:vAlign w:val="center"/>
          </w:tcPr>
          <w:p>
            <w:pPr>
              <w:pStyle w:val="Default"/>
              <w:jc w:val="center"/>
              <w:rPr>
                <w:bCs/>
                <w:color w:val="00000A"/>
                <w:sz w:val="28"/>
                <w:szCs w:val="28"/>
              </w:rPr>
            </w:pPr>
            <w:r>
              <w:rPr>
                <w:bCs/>
                <w:color w:val="00000A"/>
                <w:sz w:val="28"/>
                <w:szCs w:val="28"/>
              </w:rPr>
              <w:t>184</w:t>
            </w:r>
          </w:p>
        </w:tc>
      </w:tr>
      <w:tr>
        <w:trPr/>
        <w:tc>
          <w:tcPr>
            <w:tcW w:w="5353" w:type="dxa"/>
            <w:tcBorders/>
            <w:shd w:fill="auto" w:val="clear"/>
            <w:tcMar>
              <w:left w:w="108" w:type="dxa"/>
            </w:tcMar>
            <w:vAlign w:val="center"/>
          </w:tcPr>
          <w:p>
            <w:pPr>
              <w:pStyle w:val="Normal"/>
              <w:widowControl w:val="false"/>
              <w:suppressAutoHyphens w:val="true"/>
              <w:spacing w:before="0" w:after="0"/>
              <w:jc w:val="center"/>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Összesen</w:t>
            </w:r>
          </w:p>
        </w:tc>
        <w:tc>
          <w:tcPr>
            <w:tcW w:w="4393" w:type="dxa"/>
            <w:tcBorders/>
            <w:shd w:fill="auto" w:val="clear"/>
            <w:tcMar>
              <w:left w:w="108" w:type="dxa"/>
            </w:tcMar>
            <w:vAlign w:val="center"/>
          </w:tcPr>
          <w:p>
            <w:pPr>
              <w:pStyle w:val="Default"/>
              <w:jc w:val="center"/>
              <w:rPr>
                <w:b/>
                <w:b/>
                <w:bCs/>
                <w:color w:val="00000A"/>
                <w:sz w:val="28"/>
                <w:szCs w:val="28"/>
              </w:rPr>
            </w:pPr>
            <w:r>
              <w:rPr>
                <w:b/>
                <w:bCs/>
                <w:color w:val="00000A"/>
                <w:sz w:val="28"/>
                <w:szCs w:val="28"/>
              </w:rPr>
              <w:t>3.258</w:t>
            </w:r>
          </w:p>
        </w:tc>
      </w:tr>
    </w:tbl>
    <w:p>
      <w:pPr>
        <w:pStyle w:val="Standard"/>
        <w:spacing w:lineRule="auto" w:line="360"/>
        <w:rPr/>
      </w:pPr>
      <w:r>
        <w:rPr/>
      </w:r>
    </w:p>
    <w:p>
      <w:pPr>
        <w:pStyle w:val="Standard"/>
        <w:spacing w:lineRule="auto" w:line="360"/>
        <w:rPr/>
      </w:pPr>
      <w:r>
        <w:rPr/>
      </w:r>
    </w:p>
    <w:p>
      <w:pPr>
        <w:pStyle w:val="Standard"/>
        <w:spacing w:lineRule="auto" w:line="360"/>
        <w:jc w:val="both"/>
        <w:rPr>
          <w:rFonts w:cs="Times New Roman"/>
        </w:rPr>
      </w:pPr>
      <w:r>
        <w:rPr/>
        <w:t>2017-ben az Idősek Klub helyisége eszköz beszerzési pályázatot nyert a TOP-4.2.1.</w:t>
      </w:r>
      <w:r>
        <w:rPr>
          <w:rFonts w:eastAsia="Times New Roman"/>
          <w:b/>
        </w:rPr>
        <w:t xml:space="preserve"> </w:t>
      </w:r>
      <w:r>
        <w:rPr>
          <w:rFonts w:eastAsia="Times New Roman"/>
        </w:rPr>
        <w:t>pályázat</w:t>
      </w:r>
      <w:r>
        <w:rPr/>
        <w:t xml:space="preserve"> keretében. A Klub teljes berendezése megújult. A társalgóba új szekrények, asztalok, székek, fotelek, ágyak, könyvespolcok, szőnyeg lett vásárolva. Az ablakokra új karnisok, függönyök sötétítők kerültek. Az ellátottak szórakoztatására elektronikai berendezések pl. nagyképernyős tv, hifi, számítógép került átadásra. Konyhába új konyhaszekrény, mosogatómedence, hűtő, gáztűzhely, háztartási kisgépek, tálaló és evőeszközök lettek vásárolva. </w:t>
      </w:r>
    </w:p>
    <w:p>
      <w:pPr>
        <w:pStyle w:val="Standard"/>
        <w:spacing w:lineRule="auto" w:line="360"/>
        <w:rPr/>
      </w:pPr>
      <w:r>
        <w:rPr>
          <w:rFonts w:cs="Times New Roman"/>
          <w:bCs/>
        </w:rPr>
        <w:t>Az épület állagmegóvás szempontjából mielőbb felújításra szorulna.(tetőszerkezet javítása, nyílászárók cseréje, szigetelés, festés-mázolás, vizes blokk felújítása)</w:t>
      </w:r>
    </w:p>
    <w:p>
      <w:pPr>
        <w:pStyle w:val="Default"/>
        <w:rPr>
          <w:sz w:val="23"/>
          <w:szCs w:val="23"/>
        </w:rPr>
      </w:pPr>
      <w:r>
        <w:rPr>
          <w:sz w:val="23"/>
          <w:szCs w:val="23"/>
        </w:rPr>
      </w:r>
    </w:p>
    <w:p>
      <w:pPr>
        <w:pStyle w:val="Default"/>
        <w:rPr>
          <w:sz w:val="23"/>
          <w:szCs w:val="23"/>
        </w:rPr>
      </w:pPr>
      <w:r>
        <w:rPr>
          <w:sz w:val="23"/>
          <w:szCs w:val="23"/>
        </w:rPr>
      </w:r>
    </w:p>
    <w:p>
      <w:pPr>
        <w:pStyle w:val="Default"/>
        <w:jc w:val="both"/>
        <w:rPr>
          <w:bCs/>
          <w:color w:val="00000A"/>
          <w:u w:val="single"/>
        </w:rPr>
      </w:pPr>
      <w:r>
        <w:rPr>
          <w:bCs/>
          <w:color w:val="00000A"/>
          <w:u w:val="single"/>
        </w:rPr>
        <w:t>Idősek Otthona</w:t>
      </w:r>
    </w:p>
    <w:p>
      <w:pPr>
        <w:pStyle w:val="Default"/>
        <w:spacing w:lineRule="auto" w:line="360"/>
        <w:jc w:val="both"/>
        <w:rPr>
          <w:bCs/>
          <w:u w:val="single"/>
        </w:rPr>
      </w:pPr>
      <w:r>
        <w:rPr>
          <w:bCs/>
          <w:u w:val="single"/>
        </w:rPr>
      </w:r>
    </w:p>
    <w:p>
      <w:pPr>
        <w:pStyle w:val="Default"/>
        <w:spacing w:lineRule="auto" w:line="360"/>
        <w:jc w:val="both"/>
        <w:rPr>
          <w:bCs/>
        </w:rPr>
      </w:pPr>
      <w:r>
        <w:rPr>
          <w:bCs/>
        </w:rPr>
        <w:t>A szolgáltatás igénylése erre a célra készült kérelem beadásával történik, majd a kérelmező lakásán, tartózkodási helyén előgondozást végzünk, amikor felmérjük az igénylő szükségleteit. A gondozási szükséglet felmérésének eredményéről értesítjük az igénylőt.   A szolgáltatás igénybe vétele előtt megállapodás megkötésére kerül sor. Az önmaguk ellátására nem, vagy csak folyamatos segítséggel képes személyek napi legalább ötszöri étkeztetéséről, szükség szerint ruházattal, illetve textíliával való ellátásáról, valamint lakhatásáról az ápolást, gondozást nyújtó intézményekben kell gondoskodni. Ebben az ellátási formában folyamatosan, a nap 24 órájában biztosítjuk a jogszabályi kritériumoknak megfelelő teljes körű komplex ellátást. (fizikai-, egészségügyi-, mentálhigiénés ellátás, foglalkoztatás, érdekvédelem) Az idősek otthonában a napi 4 órát meghaladó gondozási szükségletű, de rendszeres fekvőbeteg, gyógyintézeti kezelést nem igénylő, a nyugdíjkorhatárt betöltött személyeket ápoljuk és gondozzuk. (1993.évi III. tv. 68 § (1) bek.) Az időskorúakon kívül felvehető és ellátásban részesíthető az a 18. életévét betöltött napi 4 órát meghaladó gondozási szükségletű személy is, aki betegsége miatt nem tud önmagáról gondoskodni. (1993.évi III. tv. 68 § (2) bek</w:t>
      </w:r>
      <w:r>
        <w:rPr>
          <w:b/>
          <w:bCs/>
        </w:rPr>
        <w:t>.)</w:t>
      </w:r>
      <w:r>
        <w:rPr>
          <w:bCs/>
        </w:rPr>
        <w:t xml:space="preserve"> A törvénymódosításra került, 2017.01.01.-től </w:t>
      </w:r>
      <w:r>
        <w:rPr/>
        <w:t>Értékelő adatlap szerint - III. fokozatú kérelmező vehető fel bentlakásos intézménybe.</w:t>
      </w:r>
      <w:r>
        <w:rPr>
          <w:bCs/>
        </w:rPr>
        <w:t xml:space="preserve"> Legtöbb Idősek Otthonában élnek olyan gondozottak, akiknél jelen van a demencia kórkép valamely fokozata.  A demens betegek ápolása - gondozása komoly kihívást jelent az ápolók és a mentálhigiénés szakemberek számára egyaránt.  </w:t>
      </w:r>
    </w:p>
    <w:p>
      <w:pPr>
        <w:pStyle w:val="Default"/>
        <w:spacing w:lineRule="auto" w:line="360"/>
        <w:jc w:val="both"/>
        <w:rPr>
          <w:bCs/>
        </w:rPr>
      </w:pPr>
      <w:r>
        <w:rPr>
          <w:bCs/>
        </w:rPr>
        <w:t>A  demencia az emlékezet, olyan mértékű hanyatlása, mely ellehetetleníti a mindennapi önálló életvitelét.  A gondolkodásban, tervezésben, mindennapi cselekvésekben romlás következik be. A környezetben történő tájékozódás térben és időben beszűkül.   Az érzelmi kontroll csökkenése miatt változások következnek be a társas kapcsolatokban.  Jelenleg az otthonban élő 32 fő közül 10 fő a demens személyek száma, ezek az ellátottak rendelkeznek a jogszabály által előírt, megfelelő orvosi szakvéleménnyel.</w:t>
      </w:r>
    </w:p>
    <w:p>
      <w:pPr>
        <w:pStyle w:val="Default"/>
        <w:spacing w:lineRule="auto" w:line="360"/>
        <w:jc w:val="both"/>
        <w:rPr>
          <w:b/>
          <w:b/>
          <w:bCs/>
        </w:rPr>
      </w:pPr>
      <w:r>
        <w:rPr>
          <w:b/>
          <w:bCs/>
        </w:rPr>
      </w:r>
    </w:p>
    <w:p>
      <w:pPr>
        <w:pStyle w:val="Default"/>
        <w:spacing w:lineRule="auto" w:line="360"/>
        <w:jc w:val="both"/>
        <w:rPr>
          <w:b/>
          <w:b/>
          <w:bCs/>
        </w:rPr>
      </w:pPr>
      <w:r>
        <w:rPr>
          <w:b/>
          <w:bCs/>
        </w:rPr>
        <w:t>Egészségügyi ellátás</w:t>
      </w:r>
    </w:p>
    <w:p>
      <w:pPr>
        <w:pStyle w:val="Default"/>
        <w:spacing w:lineRule="auto" w:line="360"/>
        <w:jc w:val="both"/>
        <w:rPr>
          <w:bCs/>
        </w:rPr>
      </w:pPr>
      <w:r>
        <w:rPr>
          <w:bCs/>
        </w:rPr>
        <w:t xml:space="preserve">Keretében személyre szóló, egyéni szükségletnek megfelelő 24 órás felügyeletet, gondozást, ápolást biztosítunk.  Az egészségügyi ellátás a gyógyító - megelőző ellátás alapelvéből indul ki, mely szerint a megelőzés és a gyógyítás fogalma egymástól nem választható szét.  Az intézményben egészségügyi ellátás célja, feladata az egészségmegőrzés, az egészség védelme, a megbetegedés megelőzése, a már kialakult betegségek korai felismerése és gyógyítása, az állapotromlás megakadályozása, a gyógyíthatatlan beteg panaszainak enyhítése.  Egyre inkább jellemző, hogy nő a fekvő betegek és csökken az önellátók száma és aránya. A mozgásukban nehezített lakók száma megemelkedett.  Általában gyengülőnek ítélhető a beköltözők fizikális és egészségügyi állapota.  </w:t>
      </w:r>
      <w:r>
        <w:rPr/>
        <w:t>Ápolási szükségleteik változóak, a teljes ágyban fekvő, önellátásra teljesen képtelen személytől az önellátóig minden gondozási szükséglet előfordul lakóink körében. Megállapítható, hogy az idő előre haladtával mentális, illetve fizikai állapotuk folyamatosan romlik. Gondozásuk jelentős fizikai ráfordítást igényel. A mozgáskorlátozottság, a mentális leépülés, a szervi betegségek által okozott önellátási nehézség egyaránt megtalálható a diagnózisok között. Az intézményben lakók körében a BNO szerinti besorolásban megnevezett betegségek széles skálája megtalálható, ezért eltekintek ezeknek felsorolásától.</w:t>
      </w:r>
      <w:r>
        <w:rPr>
          <w:bCs/>
        </w:rPr>
        <w:t xml:space="preserve"> </w:t>
      </w:r>
      <w:r>
        <w:rPr/>
        <w:t>A betegségek kezelésében terápiát a kezelő orvos, illetve szakorvos írja elő. A havi gyógyszerek felíratása az intézmény orvosánál történik.</w:t>
      </w:r>
      <w:r>
        <w:rPr>
          <w:bCs/>
        </w:rPr>
        <w:t xml:space="preserve"> </w:t>
      </w:r>
      <w:r>
        <w:rPr/>
        <w:t xml:space="preserve">A gyógyszer, a test távoli segédeszközök, testközeli eszközök beszerzésénél külön gondot fordítunk arra, hogy a költségek csökkentése érdekében időben beszerezzük a kedvezőbb támogatási összeghez szükséges szakorvosi javaslatokat, mérsékelve ezzel a nélkülözhetetlen kiadásokat. Ellátottaink egy része mentálisan hanyatló, bár mozgásképességében megtartott idős, aki a gondoskodási feladatokat, a figyelmet legalább annyira igényli, mint mentálisan intakt, de mozgásában jelentősen korlátozott társai. </w:t>
      </w:r>
    </w:p>
    <w:p>
      <w:pPr>
        <w:pStyle w:val="Default"/>
        <w:spacing w:lineRule="auto" w:line="360"/>
        <w:rPr/>
      </w:pPr>
      <w:r>
        <w:rPr/>
        <w:t xml:space="preserve">Szakszerű, emberi és mindenre kiterjedő ellátásuk komoly szervezési, fizikai, szellemi és szakmai munkát igényel minden dolgozó részéről. </w:t>
      </w:r>
    </w:p>
    <w:p>
      <w:pPr>
        <w:pStyle w:val="Textbody"/>
        <w:spacing w:before="0" w:after="0"/>
        <w:jc w:val="both"/>
        <w:rPr>
          <w:b/>
          <w:b/>
          <w:color w:val="000000"/>
        </w:rPr>
      </w:pPr>
      <w:r>
        <w:rPr>
          <w:b/>
          <w:color w:val="000000"/>
        </w:rPr>
      </w:r>
    </w:p>
    <w:p>
      <w:pPr>
        <w:pStyle w:val="Textbody"/>
        <w:spacing w:before="0" w:after="0"/>
        <w:jc w:val="both"/>
        <w:rPr>
          <w:color w:val="000000"/>
        </w:rPr>
      </w:pPr>
      <w:r>
        <w:rPr>
          <w:b/>
          <w:color w:val="000000"/>
        </w:rPr>
        <w:t xml:space="preserve">Tárgyi feltételek </w:t>
      </w:r>
    </w:p>
    <w:p>
      <w:pPr>
        <w:pStyle w:val="Textbody"/>
        <w:spacing w:before="0" w:after="0"/>
        <w:jc w:val="both"/>
        <w:rPr>
          <w:color w:val="000000"/>
        </w:rPr>
      </w:pPr>
      <w:r>
        <w:rPr>
          <w:color w:val="000000"/>
        </w:rPr>
      </w:r>
    </w:p>
    <w:p>
      <w:pPr>
        <w:pStyle w:val="Textbody"/>
        <w:spacing w:lineRule="auto" w:line="360" w:before="0" w:after="0"/>
        <w:jc w:val="both"/>
        <w:rPr>
          <w:color w:val="000000"/>
        </w:rPr>
      </w:pPr>
      <w:r>
        <w:rPr>
          <w:color w:val="000000"/>
        </w:rPr>
        <w:t>Az intézményben biztosítottak az éjszakai és nappali tartózkodásra, étkezésre, az intézmény jellege szerint közösségi együttlétre szolgáló helyiségek. Több társalgó teszi kényelmesebbé az ellátottak mindennapi életét. Az egyik társalgóban foglalkoztató sarok van kialakítva a kreatív, kézműves foglalkozáshoz. Egészségügyi ellátásra orvosi szoba, a személyzet számára külön nővérpult áll rendelkezésre. A lakószobák száma 16 db, 1-2-3-4 ágyasok, házaspárok együtt elhelyezésére is lehetőség van.  Betegszobában a súlyos állapotú, fertőző betegek elkülönítésére van lehetőség. Kialakításra került a tornaszoba, a tornaeszközöket adományba kapta az intézmény. Teakonyhában készíthetik el kedvenc ételeiket a főzni szerető gondozottak, valamint a közös sütés-főzés színhelye is. A berendezés, a bútorzat az ellátottak életkori sajátosságainak, egészségi és mozgásállapotának megfelelő. A látogatók fogadására az ellátottak szobájában, közösségi helyiségben, jó időben udvaron nyílik lehetőség.</w:t>
      </w:r>
      <w:r>
        <w:rPr>
          <w:i/>
          <w:color w:val="000000"/>
        </w:rPr>
        <w:t xml:space="preserve"> </w:t>
      </w:r>
    </w:p>
    <w:p>
      <w:pPr>
        <w:pStyle w:val="Textbody"/>
        <w:spacing w:lineRule="auto" w:line="360" w:before="0" w:after="0"/>
        <w:jc w:val="both"/>
        <w:rPr>
          <w:color w:val="FF0000"/>
        </w:rPr>
      </w:pPr>
      <w:r>
        <w:rPr>
          <w:color w:val="000000"/>
        </w:rPr>
        <w:t>2017-ben az Gádoros Nagyközség Képviselő-testületének benyújtottunk kérelmet férőhely bővítés céljából. 2018. február 20.-án volt a békéscsabai Kormányhivatal munkatársa helyszíni szemlén, ahol megállapította, hogy 1 fő férőhely bővítés lehetséges az Idősek Otthonában, a férőhely bővítést a Képviselő-testület 2017.02.27-e ülésén jóváhagyott.</w:t>
      </w:r>
    </w:p>
    <w:p>
      <w:pPr>
        <w:pStyle w:val="Textbody"/>
        <w:spacing w:lineRule="auto" w:line="360" w:before="0" w:after="0"/>
        <w:jc w:val="both"/>
        <w:rPr/>
      </w:pPr>
      <w:r>
        <w:rPr/>
        <w:t>A férőhely bővítés a költségvetés bevételi oldalát növeli évi: 964.800Ft-tal, a kiadási oldalt a meleg padozat megvásárlása (40.000Ft,- linóleum) terheli.  A dolgozói létszám, a férőhely bővítés miatt nem emelkedik, bér költség nem terheli a kiadási oldalt.</w:t>
      </w:r>
    </w:p>
    <w:p>
      <w:pPr>
        <w:pStyle w:val="Textbody"/>
        <w:spacing w:before="0" w:after="0"/>
        <w:jc w:val="both"/>
        <w:rPr>
          <w:b/>
          <w:b/>
        </w:rPr>
      </w:pPr>
      <w:r>
        <w:rPr>
          <w:b/>
        </w:rPr>
      </w:r>
    </w:p>
    <w:p>
      <w:pPr>
        <w:pStyle w:val="Textbody"/>
        <w:spacing w:before="0" w:after="0"/>
        <w:jc w:val="both"/>
        <w:rPr>
          <w:b/>
          <w:b/>
        </w:rPr>
      </w:pPr>
      <w:r>
        <w:rPr>
          <w:b/>
        </w:rPr>
        <w:t>Fizikai ellátás</w:t>
      </w:r>
    </w:p>
    <w:p>
      <w:pPr>
        <w:pStyle w:val="Textbody"/>
        <w:spacing w:before="0" w:after="0"/>
        <w:jc w:val="both"/>
        <w:rPr>
          <w:b/>
          <w:b/>
        </w:rPr>
      </w:pPr>
      <w:r>
        <w:rPr>
          <w:b/>
        </w:rPr>
      </w:r>
    </w:p>
    <w:p>
      <w:pPr>
        <w:pStyle w:val="Textbody"/>
        <w:spacing w:lineRule="auto" w:line="360" w:before="0" w:after="0"/>
        <w:jc w:val="both"/>
        <w:rPr/>
      </w:pPr>
      <w:r>
        <w:rPr/>
        <w:t>Intézményünk az ellátottak részére a törvényi előírásoknak megfelelő fizikai ellátást biztosítja. A fizikai biztonság érdekében igyekszünk olyan környezetet kialakítani, hogy a lakó könnyen tudjon tájékozódni, mozogni, mind a lakószobájában, mind pedig az otthon bármely részén. A biztonságos közlekedésüket a küszöböktől mentes lakószobák, kapaszkodókkal és csúszásmentes padozattal rendelkező folyosók, és mozgáskorlátozott zuhanyzók biztosítják.</w:t>
      </w:r>
    </w:p>
    <w:p>
      <w:pPr>
        <w:pStyle w:val="Textbody"/>
        <w:spacing w:lineRule="auto" w:line="276" w:before="0" w:after="0"/>
        <w:jc w:val="both"/>
        <w:rPr>
          <w:b/>
          <w:b/>
        </w:rPr>
      </w:pPr>
      <w:r>
        <w:rPr>
          <w:b/>
        </w:rPr>
      </w:r>
    </w:p>
    <w:p>
      <w:pPr>
        <w:pStyle w:val="Textbody"/>
        <w:spacing w:lineRule="auto" w:line="276" w:before="0" w:after="0"/>
        <w:jc w:val="both"/>
        <w:rPr>
          <w:b/>
          <w:b/>
        </w:rPr>
      </w:pPr>
      <w:r>
        <w:rPr>
          <w:b/>
        </w:rPr>
        <w:t>Ruházat, textília biztosítása</w:t>
      </w:r>
    </w:p>
    <w:p>
      <w:pPr>
        <w:pStyle w:val="Textbody"/>
        <w:spacing w:lineRule="auto" w:line="276" w:before="0" w:after="0"/>
        <w:jc w:val="both"/>
        <w:rPr>
          <w:b/>
          <w:b/>
        </w:rPr>
      </w:pPr>
      <w:r>
        <w:rPr>
          <w:b/>
        </w:rPr>
      </w:r>
    </w:p>
    <w:p>
      <w:pPr>
        <w:pStyle w:val="Textbody"/>
        <w:spacing w:lineRule="auto" w:line="360" w:before="0" w:after="0"/>
        <w:jc w:val="both"/>
        <w:rPr>
          <w:rFonts w:eastAsia="Times New Roman" w:cs="Times New Roman"/>
        </w:rPr>
      </w:pPr>
      <w:r>
        <w:rPr>
          <w:rFonts w:eastAsia="Times New Roman" w:cs="Times New Roman"/>
        </w:rPr>
        <w:t>Az intézmény szükség esetén ruházatot és textíliát is biztosít lakói részére. Az intézmény a jogszabályoknak megfelelően biztosít három váltás ágyneműt, illetve a tisztálkodáshoz szükséges textíliát. A lakók ruháinak tisztításáról az intézmény saját mosodájában ingyenesen gondoskodik. Az elhasználódott ruházat pótlásáról általában az ellátottak saját költségükön gondoskodnak, a ruházat javítása az intézményben megoldott.</w:t>
      </w:r>
    </w:p>
    <w:p>
      <w:pPr>
        <w:pStyle w:val="Textbody"/>
        <w:spacing w:lineRule="auto" w:line="360" w:before="0" w:after="0"/>
        <w:jc w:val="both"/>
        <w:rPr>
          <w:b/>
          <w:b/>
        </w:rPr>
      </w:pPr>
      <w:r>
        <w:rPr>
          <w:b/>
        </w:rPr>
      </w:r>
    </w:p>
    <w:p>
      <w:pPr>
        <w:pStyle w:val="Textbody"/>
        <w:spacing w:lineRule="auto" w:line="360" w:before="0" w:after="0"/>
        <w:jc w:val="both"/>
        <w:rPr>
          <w:rFonts w:eastAsia="Times New Roman" w:cs="Times New Roman"/>
        </w:rPr>
      </w:pPr>
      <w:r>
        <w:rPr>
          <w:b/>
        </w:rPr>
        <w:t>Étkeztetés</w:t>
      </w:r>
    </w:p>
    <w:p>
      <w:pPr>
        <w:pStyle w:val="Normal"/>
        <w:widowControl w:val="false"/>
        <w:suppressAutoHyphens w:val="true"/>
        <w:spacing w:lineRule="auto" w:line="360" w:before="0" w:after="0"/>
        <w:jc w:val="both"/>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 xml:space="preserve">2016. március 1. napjától az intézményben ötszöri étkezést biztosított a </w:t>
      </w:r>
      <w:bookmarkStart w:id="3" w:name="pr1id"/>
      <w:bookmarkEnd w:id="3"/>
      <w:r>
        <w:rPr>
          <w:rFonts w:eastAsia="Times New Roman" w:ascii="Times New Roman" w:hAnsi="Times New Roman"/>
          <w:color w:val="222222"/>
          <w:sz w:val="24"/>
          <w:szCs w:val="24"/>
          <w:lang w:eastAsia="zh-CN"/>
        </w:rPr>
        <w:t xml:space="preserve">37/2014. (IV. 30.) EMMI a </w:t>
      </w:r>
      <w:r>
        <w:rPr>
          <w:rFonts w:eastAsia="Lucida Sans Unicode" w:ascii="Times New Roman" w:hAnsi="Times New Roman"/>
          <w:color w:val="222222"/>
          <w:sz w:val="24"/>
          <w:szCs w:val="24"/>
          <w:lang w:eastAsia="zh-CN"/>
        </w:rPr>
        <w:t>közétkeztetésre vonatkozó táplálkozás-egészségügyi előírásokról szóló rendelet szerint. Betegségük miatt diétára szoruló gondozottak szénhidrát diétát, epekímélő ételeket kapnak, lehetőség van pépes étrend rendelésére is.</w:t>
      </w:r>
      <w:r>
        <w:rPr>
          <w:rFonts w:eastAsia="Lucida Sans Unicode" w:cs="Tahoma" w:ascii="Times New Roman" w:hAnsi="Times New Roman"/>
          <w:sz w:val="24"/>
          <w:szCs w:val="24"/>
          <w:lang w:eastAsia="zh-CN"/>
        </w:rPr>
        <w:t xml:space="preserve"> Az étlapot az élelmezésvezető állítja össze.</w:t>
      </w:r>
    </w:p>
    <w:p>
      <w:pPr>
        <w:pStyle w:val="Szvegtrzs"/>
        <w:spacing w:before="240" w:afterAutospacing="1"/>
        <w:jc w:val="both"/>
        <w:rPr/>
      </w:pPr>
      <w:r>
        <w:rPr>
          <w:b/>
        </w:rPr>
        <w:t>Gondozási, ápolás</w:t>
      </w:r>
    </w:p>
    <w:p>
      <w:pPr>
        <w:pStyle w:val="Szvegtrzs"/>
        <w:spacing w:lineRule="auto" w:line="360" w:before="0" w:after="0"/>
        <w:jc w:val="both"/>
        <w:rPr/>
      </w:pPr>
      <w:r>
        <w:rPr/>
        <w:t>Olyan fizikai, mentális, életvezetési segítséget értünk, amelynek során az ellátott szociális, testi és szellemi állapotának megfelelő egyéni bánásmódban részesül. A gondozásnak az idős ember szükségleteihez kell alkalmazkodni a fizikai és egészségügyi ellátás, a mentálhigiénés gondozás és a foglalkoztatás tekintetében egyaránt. Az idősek otthonában, a lakók ellátását a szakmai rendelet (1/2000.(I.7.) SZCSM. rend.) előírásainak megfelelően az egyéni gondozási terv</w:t>
      </w:r>
      <w:r>
        <w:rPr>
          <w:b/>
        </w:rPr>
        <w:t xml:space="preserve"> </w:t>
      </w:r>
      <w:r>
        <w:rPr/>
        <w:t xml:space="preserve">alapján végezzük. A gondozási terveket egyénre szabottan, az ellátottak állapotának és gondozási szükségleteinek figyelembe vételével valósítjuk meg. Ha az ellátásban részesülő személy állapota miatt ápolásra is szorul, az egyéni gondozási terv részeként ápolási tervet is kell készíteni. </w:t>
      </w:r>
    </w:p>
    <w:p>
      <w:pPr>
        <w:pStyle w:val="Normal"/>
        <w:spacing w:lineRule="auto" w:line="240" w:before="0" w:after="0"/>
        <w:rPr>
          <w:rFonts w:ascii="Times New Roman" w:hAnsi="Times New Roman"/>
          <w:b/>
          <w:b/>
          <w:bCs/>
          <w:sz w:val="24"/>
          <w:szCs w:val="24"/>
        </w:rPr>
      </w:pPr>
      <w:r>
        <w:rPr>
          <w:rFonts w:ascii="Times New Roman" w:hAnsi="Times New Roman"/>
          <w:b/>
          <w:bCs/>
          <w:sz w:val="24"/>
          <w:szCs w:val="24"/>
        </w:rPr>
      </w:r>
    </w:p>
    <w:p>
      <w:pPr>
        <w:pStyle w:val="Normal"/>
        <w:spacing w:lineRule="auto" w:line="360" w:before="0" w:after="0"/>
        <w:rPr>
          <w:rFonts w:ascii="Times New Roman" w:hAnsi="Times New Roman"/>
          <w:b/>
          <w:b/>
          <w:bCs/>
          <w:sz w:val="24"/>
          <w:szCs w:val="24"/>
        </w:rPr>
      </w:pPr>
      <w:r>
        <w:rPr>
          <w:rFonts w:ascii="Times New Roman" w:hAnsi="Times New Roman"/>
          <w:b/>
          <w:bCs/>
          <w:sz w:val="24"/>
          <w:szCs w:val="24"/>
        </w:rPr>
        <w:t>Foglalkoztatás és mentálhigiéné</w:t>
      </w:r>
    </w:p>
    <w:p>
      <w:pPr>
        <w:pStyle w:val="Normal"/>
        <w:spacing w:lineRule="auto" w:line="360" w:before="0" w:after="0"/>
        <w:jc w:val="both"/>
        <w:rPr>
          <w:rFonts w:ascii="Times New Roman" w:hAnsi="Times New Roman"/>
          <w:sz w:val="24"/>
          <w:szCs w:val="24"/>
        </w:rPr>
      </w:pPr>
      <w:r>
        <w:rPr>
          <w:rFonts w:ascii="Times New Roman" w:hAnsi="Times New Roman"/>
          <w:sz w:val="24"/>
          <w:szCs w:val="24"/>
        </w:rPr>
        <w:t>A mentális gondozást prioritásként kell szerepeltetnünk gondoskodó tevékenységünk során, hiszen tudjuk, hogy az id</w:t>
      </w:r>
      <w:r>
        <w:rPr>
          <w:rFonts w:cs="TimesNewRoman" w:ascii="TimesNewRoman" w:hAnsi="TimesNewRoman"/>
          <w:sz w:val="24"/>
          <w:szCs w:val="24"/>
        </w:rPr>
        <w:t>ő</w:t>
      </w:r>
      <w:r>
        <w:rPr>
          <w:rFonts w:ascii="Times New Roman" w:hAnsi="Times New Roman"/>
          <w:sz w:val="24"/>
          <w:szCs w:val="24"/>
        </w:rPr>
        <w:t>sek szomatikus tüneteit gyakran nem a szervek m</w:t>
      </w:r>
      <w:r>
        <w:rPr>
          <w:rFonts w:cs="TimesNewRoman" w:ascii="TimesNewRoman" w:hAnsi="TimesNewRoman"/>
          <w:sz w:val="24"/>
          <w:szCs w:val="24"/>
        </w:rPr>
        <w:t>ű</w:t>
      </w:r>
      <w:r>
        <w:rPr>
          <w:rFonts w:ascii="Times New Roman" w:hAnsi="Times New Roman"/>
          <w:sz w:val="24"/>
          <w:szCs w:val="24"/>
        </w:rPr>
        <w:t>ködésének zavarai okozzák, hanem a pszichikus m</w:t>
      </w:r>
      <w:r>
        <w:rPr>
          <w:rFonts w:cs="TimesNewRoman" w:ascii="TimesNewRoman" w:hAnsi="TimesNewRoman"/>
          <w:sz w:val="24"/>
          <w:szCs w:val="24"/>
        </w:rPr>
        <w:t>ű</w:t>
      </w:r>
      <w:r>
        <w:rPr>
          <w:rFonts w:ascii="Times New Roman" w:hAnsi="Times New Roman"/>
          <w:sz w:val="24"/>
          <w:szCs w:val="24"/>
        </w:rPr>
        <w:t>ködés deficitjei miatt alakulnak ki úgynevezett pszichoszomatikus tünetek. A foglalkoztatás által megtarthatók a képességek, a szunnyadó készségek felébreszthet</w:t>
      </w:r>
      <w:r>
        <w:rPr>
          <w:rFonts w:cs="TimesNewRoman" w:ascii="TimesNewRoman" w:hAnsi="TimesNewRoman"/>
          <w:sz w:val="24"/>
          <w:szCs w:val="24"/>
        </w:rPr>
        <w:t>ő</w:t>
      </w:r>
      <w:r>
        <w:rPr>
          <w:rFonts w:ascii="Times New Roman" w:hAnsi="Times New Roman"/>
          <w:sz w:val="24"/>
          <w:szCs w:val="24"/>
        </w:rPr>
        <w:t>ek, illetve az értelmi és fizikális leépülés csökkenthető, illetve megállítható. A mentálhigiénés gondozás és a foglalkoztatás célja, az ellátottak aktivitásának meg</w:t>
      </w:r>
      <w:r>
        <w:rPr>
          <w:rFonts w:cs="TimesNewRoman" w:ascii="TimesNewRoman" w:hAnsi="TimesNewRoman"/>
          <w:sz w:val="24"/>
          <w:szCs w:val="24"/>
        </w:rPr>
        <w:t>ő</w:t>
      </w:r>
      <w:r>
        <w:rPr>
          <w:rFonts w:ascii="Times New Roman" w:hAnsi="Times New Roman"/>
          <w:sz w:val="24"/>
          <w:szCs w:val="24"/>
        </w:rPr>
        <w:t>rzése, fejlesztése a szomatikus-pszichés állapotok szinten tartása.</w:t>
      </w:r>
    </w:p>
    <w:p>
      <w:pPr>
        <w:pStyle w:val="Normal"/>
        <w:spacing w:lineRule="auto" w:line="360" w:before="0" w:after="0"/>
        <w:jc w:val="both"/>
        <w:rPr>
          <w:rFonts w:ascii="Times New Roman" w:hAnsi="Times New Roman"/>
          <w:sz w:val="24"/>
          <w:szCs w:val="24"/>
        </w:rPr>
      </w:pPr>
      <w:r>
        <w:rPr>
          <w:rFonts w:ascii="Times New Roman" w:hAnsi="Times New Roman"/>
          <w:sz w:val="24"/>
          <w:szCs w:val="24"/>
        </w:rPr>
        <w:t>Formái:</w:t>
      </w:r>
    </w:p>
    <w:p>
      <w:pPr>
        <w:pStyle w:val="ListParagraph"/>
        <w:numPr>
          <w:ilvl w:val="0"/>
          <w:numId w:val="3"/>
        </w:numPr>
        <w:spacing w:lineRule="auto" w:line="360" w:before="0" w:after="0"/>
        <w:rPr>
          <w:rFonts w:ascii="Times New Roman" w:hAnsi="Times New Roman"/>
          <w:sz w:val="24"/>
          <w:szCs w:val="24"/>
        </w:rPr>
      </w:pPr>
      <w:r>
        <w:rPr>
          <w:rFonts w:ascii="Times New Roman" w:hAnsi="Times New Roman"/>
          <w:sz w:val="24"/>
          <w:szCs w:val="24"/>
        </w:rPr>
        <w:t>egyéni foglalkozás</w:t>
      </w:r>
    </w:p>
    <w:p>
      <w:pPr>
        <w:pStyle w:val="ListParagraph"/>
        <w:numPr>
          <w:ilvl w:val="0"/>
          <w:numId w:val="3"/>
        </w:numPr>
        <w:spacing w:lineRule="auto" w:line="360" w:before="0" w:after="0"/>
        <w:rPr>
          <w:rFonts w:ascii="Times New Roman" w:hAnsi="Times New Roman"/>
          <w:sz w:val="24"/>
          <w:szCs w:val="24"/>
        </w:rPr>
      </w:pPr>
      <w:r>
        <w:rPr>
          <w:rFonts w:ascii="Times New Roman" w:hAnsi="Times New Roman"/>
          <w:sz w:val="24"/>
          <w:szCs w:val="24"/>
        </w:rPr>
        <w:t>segít</w:t>
      </w:r>
      <w:r>
        <w:rPr>
          <w:rFonts w:cs="TimesNewRoman" w:ascii="TimesNewRoman" w:hAnsi="TimesNewRoman"/>
          <w:sz w:val="24"/>
          <w:szCs w:val="24"/>
        </w:rPr>
        <w:t xml:space="preserve">ő </w:t>
      </w:r>
      <w:r>
        <w:rPr>
          <w:rFonts w:ascii="Times New Roman" w:hAnsi="Times New Roman"/>
          <w:sz w:val="24"/>
          <w:szCs w:val="24"/>
        </w:rPr>
        <w:t>beszélgetés</w:t>
      </w:r>
    </w:p>
    <w:p>
      <w:pPr>
        <w:pStyle w:val="ListParagraph"/>
        <w:numPr>
          <w:ilvl w:val="0"/>
          <w:numId w:val="3"/>
        </w:numPr>
        <w:spacing w:lineRule="auto" w:line="360" w:before="0" w:after="0"/>
        <w:rPr>
          <w:rFonts w:ascii="Times New Roman" w:hAnsi="Times New Roman"/>
          <w:sz w:val="24"/>
          <w:szCs w:val="24"/>
        </w:rPr>
      </w:pPr>
      <w:r>
        <w:rPr>
          <w:rFonts w:ascii="Times New Roman" w:hAnsi="Times New Roman"/>
          <w:sz w:val="24"/>
          <w:szCs w:val="24"/>
        </w:rPr>
        <w:t>kreatív foglalkozás</w:t>
      </w:r>
    </w:p>
    <w:p>
      <w:pPr>
        <w:pStyle w:val="ListParagraph"/>
        <w:numPr>
          <w:ilvl w:val="0"/>
          <w:numId w:val="3"/>
        </w:numPr>
        <w:spacing w:lineRule="auto" w:line="360" w:before="0" w:after="0"/>
        <w:rPr>
          <w:rFonts w:ascii="Times New Roman" w:hAnsi="Times New Roman"/>
          <w:sz w:val="24"/>
          <w:szCs w:val="24"/>
        </w:rPr>
      </w:pPr>
      <w:r>
        <w:rPr>
          <w:rFonts w:ascii="Times New Roman" w:hAnsi="Times New Roman"/>
          <w:sz w:val="24"/>
          <w:szCs w:val="24"/>
        </w:rPr>
        <w:t>m</w:t>
      </w:r>
      <w:r>
        <w:rPr>
          <w:rFonts w:cs="TimesNewRoman" w:ascii="TimesNewRoman" w:hAnsi="TimesNewRoman"/>
          <w:sz w:val="24"/>
          <w:szCs w:val="24"/>
        </w:rPr>
        <w:t>ű</w:t>
      </w:r>
      <w:r>
        <w:rPr>
          <w:rFonts w:ascii="Times New Roman" w:hAnsi="Times New Roman"/>
          <w:sz w:val="24"/>
          <w:szCs w:val="24"/>
        </w:rPr>
        <w:t>vészeti foglalkozás</w:t>
      </w:r>
    </w:p>
    <w:p>
      <w:pPr>
        <w:pStyle w:val="Normal"/>
        <w:spacing w:lineRule="auto" w:line="360" w:before="0" w:after="0"/>
        <w:ind w:left="360" w:hanging="0"/>
        <w:rPr>
          <w:rFonts w:ascii="Times New Roman" w:hAnsi="Times New Roman"/>
          <w:sz w:val="24"/>
          <w:szCs w:val="24"/>
        </w:rPr>
      </w:pPr>
      <w:r>
        <w:rPr>
          <w:rFonts w:ascii="Times New Roman" w:hAnsi="Times New Roman"/>
          <w:sz w:val="24"/>
          <w:szCs w:val="24"/>
        </w:rPr>
      </w:r>
    </w:p>
    <w:p>
      <w:pPr>
        <w:pStyle w:val="Normal"/>
        <w:spacing w:lineRule="auto" w:line="360" w:before="0" w:after="0"/>
        <w:rPr>
          <w:rFonts w:ascii="Times New Roman" w:hAnsi="Times New Roman"/>
          <w:b/>
          <w:b/>
          <w:bCs/>
          <w:sz w:val="24"/>
          <w:szCs w:val="24"/>
        </w:rPr>
      </w:pPr>
      <w:r>
        <w:rPr>
          <w:rFonts w:ascii="Times New Roman" w:hAnsi="Times New Roman"/>
          <w:sz w:val="24"/>
          <w:szCs w:val="24"/>
        </w:rPr>
        <w:t xml:space="preserve">A foglalkoztatás </w:t>
      </w:r>
      <w:r>
        <w:rPr>
          <w:rFonts w:ascii="Times New Roman" w:hAnsi="Times New Roman"/>
          <w:b/>
          <w:bCs/>
          <w:sz w:val="24"/>
          <w:szCs w:val="24"/>
        </w:rPr>
        <w:t xml:space="preserve">célja: </w:t>
      </w:r>
    </w:p>
    <w:p>
      <w:pPr>
        <w:pStyle w:val="Normal"/>
        <w:spacing w:lineRule="auto" w:line="360" w:before="0" w:after="0"/>
        <w:jc w:val="both"/>
        <w:rPr>
          <w:rFonts w:ascii="Times New Roman" w:hAnsi="Times New Roman"/>
          <w:b/>
          <w:b/>
          <w:bCs/>
          <w:sz w:val="24"/>
          <w:szCs w:val="24"/>
        </w:rPr>
      </w:pPr>
      <w:r>
        <w:rPr>
          <w:rFonts w:ascii="Times New Roman" w:hAnsi="Times New Roman"/>
          <w:sz w:val="24"/>
          <w:szCs w:val="24"/>
        </w:rPr>
        <w:t>Els</w:t>
      </w:r>
      <w:r>
        <w:rPr>
          <w:rFonts w:cs="TimesNewRoman" w:ascii="TimesNewRoman" w:hAnsi="TimesNewRoman"/>
          <w:sz w:val="24"/>
          <w:szCs w:val="24"/>
        </w:rPr>
        <w:t>ő</w:t>
      </w:r>
      <w:r>
        <w:rPr>
          <w:rFonts w:ascii="Times New Roman" w:hAnsi="Times New Roman"/>
          <w:sz w:val="24"/>
          <w:szCs w:val="24"/>
        </w:rPr>
        <w:t>dlegesen az örömforrás megtalálása, élvezetes együttlétek megteremtése, a</w:t>
      </w:r>
      <w:r>
        <w:rPr>
          <w:rFonts w:ascii="Times New Roman" w:hAnsi="Times New Roman"/>
          <w:b/>
          <w:bCs/>
          <w:sz w:val="24"/>
          <w:szCs w:val="24"/>
        </w:rPr>
        <w:t xml:space="preserve"> </w:t>
      </w:r>
      <w:r>
        <w:rPr>
          <w:rFonts w:ascii="Times New Roman" w:hAnsi="Times New Roman"/>
          <w:sz w:val="24"/>
          <w:szCs w:val="24"/>
        </w:rPr>
        <w:t>felszabadult együtt töltött id</w:t>
      </w:r>
      <w:r>
        <w:rPr>
          <w:rFonts w:cs="TimesNewRoman" w:ascii="TimesNewRoman" w:hAnsi="TimesNewRoman"/>
          <w:sz w:val="24"/>
          <w:szCs w:val="24"/>
        </w:rPr>
        <w:t xml:space="preserve">ő </w:t>
      </w:r>
      <w:r>
        <w:rPr>
          <w:rFonts w:ascii="Times New Roman" w:hAnsi="Times New Roman"/>
          <w:sz w:val="24"/>
          <w:szCs w:val="24"/>
        </w:rPr>
        <w:t>hasznos eltöltése, ami által a magány, az apátia esetleg</w:t>
      </w:r>
      <w:r>
        <w:rPr>
          <w:rFonts w:ascii="Times New Roman" w:hAnsi="Times New Roman"/>
          <w:b/>
          <w:bCs/>
          <w:sz w:val="24"/>
          <w:szCs w:val="24"/>
        </w:rPr>
        <w:t xml:space="preserve"> </w:t>
      </w:r>
      <w:r>
        <w:rPr>
          <w:rFonts w:ascii="Times New Roman" w:hAnsi="Times New Roman"/>
          <w:sz w:val="24"/>
          <w:szCs w:val="24"/>
        </w:rPr>
        <w:t>elkerülhet</w:t>
      </w:r>
      <w:r>
        <w:rPr>
          <w:rFonts w:cs="TimesNewRoman" w:ascii="TimesNewRoman" w:hAnsi="TimesNewRoman"/>
          <w:sz w:val="24"/>
          <w:szCs w:val="24"/>
        </w:rPr>
        <w:t>ő</w:t>
      </w:r>
      <w:r>
        <w:rPr>
          <w:rFonts w:ascii="Times New Roman" w:hAnsi="Times New Roman"/>
          <w:sz w:val="24"/>
          <w:szCs w:val="24"/>
        </w:rPr>
        <w:t>.</w:t>
      </w:r>
    </w:p>
    <w:p>
      <w:pPr>
        <w:pStyle w:val="Normal"/>
        <w:spacing w:lineRule="auto" w:line="360" w:before="0" w:after="0"/>
        <w:jc w:val="both"/>
        <w:rPr>
          <w:rFonts w:ascii="Times New Roman" w:hAnsi="Times New Roman"/>
          <w:sz w:val="24"/>
          <w:szCs w:val="24"/>
        </w:rPr>
      </w:pPr>
      <w:r>
        <w:rPr>
          <w:rFonts w:ascii="Times New Roman" w:hAnsi="Times New Roman"/>
          <w:sz w:val="24"/>
          <w:szCs w:val="24"/>
        </w:rPr>
        <w:t>Másodlagos cél a készségek megtartása, esetleg fejlesztése, az aktivitás növelése, a társas kapcsolatok meg</w:t>
      </w:r>
      <w:r>
        <w:rPr>
          <w:rFonts w:cs="TimesNewRoman" w:ascii="TimesNewRoman" w:hAnsi="TimesNewRoman"/>
          <w:sz w:val="24"/>
          <w:szCs w:val="24"/>
        </w:rPr>
        <w:t>ő</w:t>
      </w:r>
      <w:r>
        <w:rPr>
          <w:rFonts w:ascii="Times New Roman" w:hAnsi="Times New Roman"/>
          <w:sz w:val="24"/>
          <w:szCs w:val="24"/>
        </w:rPr>
        <w:t>rzése, a kommunikáció és a társas készségek fejlesztése.</w:t>
      </w:r>
    </w:p>
    <w:p>
      <w:pPr>
        <w:pStyle w:val="Normal"/>
        <w:spacing w:lineRule="auto" w:line="360" w:before="0" w:after="0"/>
        <w:jc w:val="both"/>
        <w:rPr>
          <w:rFonts w:ascii="Times New Roman" w:hAnsi="Times New Roman"/>
          <w:sz w:val="24"/>
          <w:szCs w:val="24"/>
        </w:rPr>
      </w:pPr>
      <w:r>
        <w:rPr>
          <w:rFonts w:ascii="Times New Roman" w:hAnsi="Times New Roman"/>
          <w:sz w:val="24"/>
          <w:szCs w:val="24"/>
        </w:rPr>
        <w:t>Fontos az id</w:t>
      </w:r>
      <w:r>
        <w:rPr>
          <w:rFonts w:cs="TimesNewRoman" w:ascii="TimesNewRoman" w:hAnsi="TimesNewRoman"/>
          <w:sz w:val="24"/>
          <w:szCs w:val="24"/>
        </w:rPr>
        <w:t>ő</w:t>
      </w:r>
      <w:r>
        <w:rPr>
          <w:rFonts w:ascii="Times New Roman" w:hAnsi="Times New Roman"/>
          <w:sz w:val="24"/>
          <w:szCs w:val="24"/>
        </w:rPr>
        <w:t>s ember számára a saját élete irányításának képessége. Körültekint</w:t>
      </w:r>
      <w:r>
        <w:rPr>
          <w:rFonts w:cs="TimesNewRoman" w:ascii="TimesNewRoman" w:hAnsi="TimesNewRoman"/>
          <w:sz w:val="24"/>
          <w:szCs w:val="24"/>
        </w:rPr>
        <w:t>ő</w:t>
      </w:r>
      <w:r>
        <w:rPr>
          <w:rFonts w:ascii="Times New Roman" w:hAnsi="Times New Roman"/>
          <w:sz w:val="24"/>
          <w:szCs w:val="24"/>
        </w:rPr>
        <w:t>en kell a foglalkoztatás helyét és idejét kiválasztani. A helyszín kellemes, figyelmet felkelt</w:t>
      </w:r>
      <w:r>
        <w:rPr>
          <w:rFonts w:cs="TimesNewRoman" w:ascii="TimesNewRoman" w:hAnsi="TimesNewRoman"/>
          <w:sz w:val="24"/>
          <w:szCs w:val="24"/>
        </w:rPr>
        <w:t>ő</w:t>
      </w:r>
      <w:r>
        <w:rPr>
          <w:rFonts w:ascii="Times New Roman" w:hAnsi="Times New Roman"/>
          <w:sz w:val="24"/>
          <w:szCs w:val="24"/>
        </w:rPr>
        <w:t>, vidám kisugárzású, biztonságos legyen. Ne legyen túl messze, hogy mindenki odataláljon. Olyan légkört kell teremteni, ahol minden lakó érzi, hogy várjuk, és számítunk rá. Mindig az odafigyelés, segítés, sikerélményhez juttatás, a pozitív példaadás a cél. Minden esetben előre kell tervezni a témát, anyagot kell gy</w:t>
      </w:r>
      <w:r>
        <w:rPr>
          <w:rFonts w:cs="TimesNewRoman" w:ascii="TimesNewRoman" w:hAnsi="TimesNewRoman"/>
          <w:sz w:val="24"/>
          <w:szCs w:val="24"/>
        </w:rPr>
        <w:t>ű</w:t>
      </w:r>
      <w:r>
        <w:rPr>
          <w:rFonts w:ascii="Times New Roman" w:hAnsi="Times New Roman"/>
          <w:sz w:val="24"/>
          <w:szCs w:val="24"/>
        </w:rPr>
        <w:t>jteni, és le kell vezetni a programot. A lakók állapuktól függ</w:t>
      </w:r>
      <w:r>
        <w:rPr>
          <w:rFonts w:cs="TimesNewRoman" w:ascii="TimesNewRoman" w:hAnsi="TimesNewRoman"/>
          <w:sz w:val="24"/>
          <w:szCs w:val="24"/>
        </w:rPr>
        <w:t>ő</w:t>
      </w:r>
      <w:r>
        <w:rPr>
          <w:rFonts w:ascii="Times New Roman" w:hAnsi="Times New Roman"/>
          <w:sz w:val="24"/>
          <w:szCs w:val="24"/>
        </w:rPr>
        <w:t xml:space="preserve">en egyéni vagy csoportos foglalkoztatáson vesznek részt. </w:t>
      </w:r>
    </w:p>
    <w:p>
      <w:pPr>
        <w:pStyle w:val="Default"/>
        <w:spacing w:lineRule="auto" w:line="360"/>
        <w:jc w:val="both"/>
        <w:rPr/>
      </w:pPr>
      <w:r>
        <w:rPr/>
      </w:r>
    </w:p>
    <w:p>
      <w:pPr>
        <w:pStyle w:val="Default"/>
        <w:spacing w:lineRule="auto" w:line="360"/>
        <w:jc w:val="both"/>
        <w:rPr>
          <w:color w:val="00000A"/>
        </w:rPr>
      </w:pPr>
      <w:r>
        <w:rPr>
          <w:b/>
          <w:bCs/>
          <w:iCs/>
          <w:color w:val="00000A"/>
        </w:rPr>
        <w:t xml:space="preserve">Foglalkoztatás, programszervezés </w:t>
      </w:r>
    </w:p>
    <w:p>
      <w:pPr>
        <w:pStyle w:val="Normal"/>
        <w:spacing w:lineRule="auto" w:line="360" w:before="0" w:after="0"/>
        <w:rPr>
          <w:rFonts w:ascii="Times New Roman" w:hAnsi="Times New Roman"/>
          <w:sz w:val="24"/>
          <w:szCs w:val="24"/>
        </w:rPr>
      </w:pPr>
      <w:r>
        <w:rPr>
          <w:rFonts w:ascii="Times New Roman" w:hAnsi="Times New Roman"/>
          <w:sz w:val="24"/>
          <w:szCs w:val="24"/>
        </w:rPr>
        <w:t>A foglalkozásokat a 2017-os évben is havi és éves terv alapján valósítottuk meg.</w:t>
      </w:r>
    </w:p>
    <w:p>
      <w:pPr>
        <w:pStyle w:val="Normal"/>
        <w:spacing w:lineRule="auto" w:line="360" w:before="0" w:after="0"/>
        <w:rPr>
          <w:rFonts w:ascii="Times New Roman" w:hAnsi="Times New Roman"/>
          <w:sz w:val="24"/>
          <w:szCs w:val="24"/>
        </w:rPr>
      </w:pPr>
      <w:r>
        <w:rPr>
          <w:rFonts w:ascii="Times New Roman" w:hAnsi="Times New Roman"/>
          <w:sz w:val="24"/>
          <w:szCs w:val="24"/>
        </w:rPr>
        <w:t>A következő programok havi szinten jelen vannak az idősek életében.</w:t>
      </w:r>
    </w:p>
    <w:p>
      <w:pPr>
        <w:pStyle w:val="Default"/>
        <w:numPr>
          <w:ilvl w:val="0"/>
          <w:numId w:val="9"/>
        </w:numPr>
        <w:spacing w:lineRule="auto" w:line="276"/>
        <w:rPr>
          <w:color w:val="00000A"/>
        </w:rPr>
      </w:pPr>
      <w:r>
        <w:rPr>
          <w:color w:val="00000A"/>
        </w:rPr>
        <w:t xml:space="preserve">Kézműves foglalkozás </w:t>
      </w:r>
    </w:p>
    <w:p>
      <w:pPr>
        <w:pStyle w:val="Default"/>
        <w:numPr>
          <w:ilvl w:val="0"/>
          <w:numId w:val="9"/>
        </w:numPr>
        <w:spacing w:lineRule="auto" w:line="276"/>
        <w:rPr>
          <w:color w:val="00000A"/>
        </w:rPr>
      </w:pPr>
      <w:r>
        <w:rPr>
          <w:color w:val="00000A"/>
        </w:rPr>
        <w:t>Zenehallgatás, filmnézés</w:t>
      </w:r>
    </w:p>
    <w:p>
      <w:pPr>
        <w:pStyle w:val="Default"/>
        <w:numPr>
          <w:ilvl w:val="0"/>
          <w:numId w:val="9"/>
        </w:numPr>
        <w:spacing w:lineRule="auto" w:line="276"/>
        <w:rPr>
          <w:color w:val="00000A"/>
        </w:rPr>
      </w:pPr>
      <w:r>
        <w:rPr>
          <w:color w:val="00000A"/>
        </w:rPr>
        <w:t>Memóriafejlesztő és logikai játékok</w:t>
      </w:r>
    </w:p>
    <w:p>
      <w:pPr>
        <w:pStyle w:val="ListParagraph"/>
        <w:numPr>
          <w:ilvl w:val="0"/>
          <w:numId w:val="9"/>
        </w:numPr>
        <w:spacing w:before="0" w:after="0"/>
        <w:rPr>
          <w:rFonts w:ascii="Times New Roman" w:hAnsi="Times New Roman"/>
          <w:sz w:val="24"/>
          <w:szCs w:val="24"/>
        </w:rPr>
      </w:pPr>
      <w:r>
        <w:rPr>
          <w:rFonts w:ascii="Times New Roman" w:hAnsi="Times New Roman"/>
          <w:sz w:val="24"/>
          <w:szCs w:val="24"/>
        </w:rPr>
        <w:t>Idős torna, labdajáték</w:t>
      </w:r>
    </w:p>
    <w:p>
      <w:pPr>
        <w:pStyle w:val="ListParagraph"/>
        <w:numPr>
          <w:ilvl w:val="0"/>
          <w:numId w:val="9"/>
        </w:numPr>
        <w:spacing w:before="0" w:after="0"/>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Katolikus mise</w:t>
      </w:r>
    </w:p>
    <w:p>
      <w:pPr>
        <w:pStyle w:val="ListParagraph"/>
        <w:numPr>
          <w:ilvl w:val="0"/>
          <w:numId w:val="9"/>
        </w:numPr>
        <w:spacing w:before="0" w:after="0"/>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Névnaposok felköszöntése</w:t>
      </w:r>
    </w:p>
    <w:p>
      <w:pPr>
        <w:pStyle w:val="Normal"/>
        <w:spacing w:lineRule="auto" w:line="360" w:before="0" w:after="0"/>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r>
    </w:p>
    <w:p>
      <w:pPr>
        <w:pStyle w:val="Normal"/>
        <w:spacing w:lineRule="auto" w:line="360" w:before="0" w:after="0"/>
        <w:rPr>
          <w:rFonts w:ascii="Times New Roman" w:hAnsi="Times New Roman" w:eastAsia="Lucida Sans Unicode" w:cs="Tahoma"/>
          <w:sz w:val="24"/>
          <w:szCs w:val="24"/>
          <w:lang w:eastAsia="zh-CN"/>
        </w:rPr>
      </w:pPr>
      <w:r>
        <w:rPr/>
      </w:r>
    </w:p>
    <w:p>
      <w:pPr>
        <w:pStyle w:val="Normal"/>
        <w:spacing w:lineRule="auto" w:line="360" w:before="0" w:after="0"/>
        <w:rPr>
          <w:rFonts w:ascii="Times New Roman" w:hAnsi="Times New Roman" w:eastAsia="Lucida Sans Unicode" w:cs="Tahoma"/>
          <w:sz w:val="24"/>
          <w:szCs w:val="24"/>
          <w:lang w:eastAsia="zh-CN"/>
        </w:rPr>
      </w:pPr>
      <w:r>
        <w:rPr/>
      </w:r>
    </w:p>
    <w:p>
      <w:pPr>
        <w:pStyle w:val="Normal"/>
        <w:spacing w:lineRule="auto" w:line="360" w:before="0" w:after="0"/>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Évközi közös programjaink:</w:t>
      </w:r>
    </w:p>
    <w:p>
      <w:pPr>
        <w:pStyle w:val="ListParagraph"/>
        <w:numPr>
          <w:ilvl w:val="0"/>
          <w:numId w:val="8"/>
        </w:numPr>
        <w:spacing w:before="0" w:after="0"/>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Karácsonyfabontás</w:t>
      </w:r>
    </w:p>
    <w:p>
      <w:pPr>
        <w:pStyle w:val="ListParagraph"/>
        <w:numPr>
          <w:ilvl w:val="0"/>
          <w:numId w:val="8"/>
        </w:numPr>
        <w:spacing w:before="0" w:after="0"/>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Farsangi mulatság idősek és dolgozók műsorával, fánk sütéssel és tombolahúzással</w:t>
      </w:r>
    </w:p>
    <w:p>
      <w:pPr>
        <w:pStyle w:val="ListParagraph"/>
        <w:numPr>
          <w:ilvl w:val="0"/>
          <w:numId w:val="8"/>
        </w:numPr>
        <w:spacing w:before="0" w:after="0"/>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Nőnapi ünnepség</w:t>
      </w:r>
    </w:p>
    <w:p>
      <w:pPr>
        <w:pStyle w:val="ListParagraph"/>
        <w:numPr>
          <w:ilvl w:val="0"/>
          <w:numId w:val="8"/>
        </w:numPr>
        <w:spacing w:before="0" w:after="0"/>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Óvodába jártunk és meglátogattuk a nagycsoportos gyerekeket</w:t>
      </w:r>
    </w:p>
    <w:p>
      <w:pPr>
        <w:pStyle w:val="ListParagraph"/>
        <w:numPr>
          <w:ilvl w:val="0"/>
          <w:numId w:val="8"/>
        </w:numPr>
        <w:spacing w:before="0" w:after="0"/>
        <w:rPr>
          <w:rFonts w:ascii="Times New Roman" w:hAnsi="Times New Roman"/>
          <w:sz w:val="24"/>
          <w:szCs w:val="24"/>
        </w:rPr>
      </w:pPr>
      <w:r>
        <w:rPr>
          <w:rFonts w:eastAsia="Lucida Sans Unicode" w:cs="Tahoma" w:ascii="Times New Roman" w:hAnsi="Times New Roman"/>
          <w:sz w:val="24"/>
          <w:szCs w:val="24"/>
          <w:lang w:eastAsia="zh-CN"/>
        </w:rPr>
        <w:t>Készülődés húsvétra, közös díszítés, szentmise</w:t>
      </w:r>
    </w:p>
    <w:p>
      <w:pPr>
        <w:pStyle w:val="ListParagraph"/>
        <w:widowControl w:val="false"/>
        <w:numPr>
          <w:ilvl w:val="0"/>
          <w:numId w:val="8"/>
        </w:numPr>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Anyák napi ünnepség az óvodások részvételével</w:t>
      </w:r>
    </w:p>
    <w:p>
      <w:pPr>
        <w:pStyle w:val="ListParagraph"/>
        <w:widowControl w:val="false"/>
        <w:numPr>
          <w:ilvl w:val="0"/>
          <w:numId w:val="8"/>
        </w:numPr>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Foltvarró klub munkáinak megtekintése</w:t>
      </w:r>
    </w:p>
    <w:p>
      <w:pPr>
        <w:pStyle w:val="ListParagraph"/>
        <w:widowControl w:val="false"/>
        <w:numPr>
          <w:ilvl w:val="0"/>
          <w:numId w:val="8"/>
        </w:numPr>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 xml:space="preserve">Közös kirándulás a Szarvasi Látogató Központba </w:t>
      </w:r>
    </w:p>
    <w:p>
      <w:pPr>
        <w:pStyle w:val="ListParagraph"/>
        <w:widowControl w:val="false"/>
        <w:numPr>
          <w:ilvl w:val="0"/>
          <w:numId w:val="8"/>
        </w:numPr>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Huszár Ildikó előadása a cukorbetegségről</w:t>
      </w:r>
    </w:p>
    <w:p>
      <w:pPr>
        <w:pStyle w:val="ListParagraph"/>
        <w:widowControl w:val="false"/>
        <w:numPr>
          <w:ilvl w:val="0"/>
          <w:numId w:val="8"/>
        </w:numPr>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Piaclátogatás</w:t>
      </w:r>
    </w:p>
    <w:p>
      <w:pPr>
        <w:pStyle w:val="ListParagraph"/>
        <w:widowControl w:val="false"/>
        <w:numPr>
          <w:ilvl w:val="0"/>
          <w:numId w:val="8"/>
        </w:numPr>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Szalonnasütés, bográcsozás</w:t>
      </w:r>
    </w:p>
    <w:p>
      <w:pPr>
        <w:pStyle w:val="ListParagraph"/>
        <w:widowControl w:val="false"/>
        <w:numPr>
          <w:ilvl w:val="0"/>
          <w:numId w:val="8"/>
        </w:numPr>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Dr Szabó József előadása az érrendszeri betegségekről</w:t>
      </w:r>
    </w:p>
    <w:p>
      <w:pPr>
        <w:pStyle w:val="ListParagraph"/>
        <w:widowControl w:val="false"/>
        <w:numPr>
          <w:ilvl w:val="0"/>
          <w:numId w:val="8"/>
        </w:numPr>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Idősek Otthona megnyitásának 25éves születésnapja</w:t>
      </w:r>
    </w:p>
    <w:p>
      <w:pPr>
        <w:pStyle w:val="ListParagraph"/>
        <w:widowControl w:val="false"/>
        <w:numPr>
          <w:ilvl w:val="0"/>
          <w:numId w:val="8"/>
        </w:numPr>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Idősek Napi ünnepség, óvodások és az idősek fellépésével</w:t>
      </w:r>
    </w:p>
    <w:p>
      <w:pPr>
        <w:pStyle w:val="ListParagraph"/>
        <w:widowControl w:val="false"/>
        <w:numPr>
          <w:ilvl w:val="0"/>
          <w:numId w:val="8"/>
        </w:numPr>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Községi Idősek Napi ünnepségen részvétel és fellépés</w:t>
      </w:r>
    </w:p>
    <w:p>
      <w:pPr>
        <w:pStyle w:val="ListParagraph"/>
        <w:widowControl w:val="false"/>
        <w:numPr>
          <w:ilvl w:val="0"/>
          <w:numId w:val="8"/>
        </w:numPr>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Halottak napi megemlékezés, temetőlátogatás, gyertyagyújtás</w:t>
      </w:r>
    </w:p>
    <w:p>
      <w:pPr>
        <w:pStyle w:val="ListParagraph"/>
        <w:widowControl w:val="false"/>
        <w:numPr>
          <w:ilvl w:val="0"/>
          <w:numId w:val="8"/>
        </w:numPr>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Adventi koszorúkészítés, majd hetente gyertyagyújtás</w:t>
      </w:r>
    </w:p>
    <w:p>
      <w:pPr>
        <w:pStyle w:val="ListParagraph"/>
        <w:widowControl w:val="false"/>
        <w:numPr>
          <w:ilvl w:val="0"/>
          <w:numId w:val="8"/>
        </w:numPr>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Hintón érkezett a mikulás</w:t>
      </w:r>
    </w:p>
    <w:p>
      <w:pPr>
        <w:pStyle w:val="ListParagraph"/>
        <w:widowControl w:val="false"/>
        <w:numPr>
          <w:ilvl w:val="0"/>
          <w:numId w:val="8"/>
        </w:numPr>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Tescós bevásárló körút</w:t>
      </w:r>
    </w:p>
    <w:p>
      <w:pPr>
        <w:pStyle w:val="ListParagraph"/>
        <w:widowControl w:val="false"/>
        <w:numPr>
          <w:ilvl w:val="0"/>
          <w:numId w:val="8"/>
        </w:numPr>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Karácsonyi ünnepség, az iskola tanulói betlehemes játékot adtak elő, majd együtt énekeltek az idősekkel, szentmise, majd ajándékozás következett.</w:t>
      </w:r>
    </w:p>
    <w:p>
      <w:pPr>
        <w:pStyle w:val="ListParagraph"/>
        <w:widowControl w:val="false"/>
        <w:numPr>
          <w:ilvl w:val="0"/>
          <w:numId w:val="8"/>
        </w:numPr>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Szilveszteri pezsgőbontás</w:t>
      </w:r>
    </w:p>
    <w:p>
      <w:pPr>
        <w:pStyle w:val="Normal"/>
        <w:widowControl w:val="false"/>
        <w:suppressAutoHyphens w:val="true"/>
        <w:spacing w:before="0" w:after="0"/>
        <w:textAlignment w:val="baseline"/>
        <w:rPr>
          <w:rFonts w:ascii="Times New Roman" w:hAnsi="Times New Roman" w:eastAsia="Lucida Sans Unicode" w:cs="Tahoma"/>
          <w:color w:val="FF0000"/>
          <w:sz w:val="24"/>
          <w:szCs w:val="24"/>
          <w:lang w:eastAsia="zh-CN"/>
        </w:rPr>
      </w:pPr>
      <w:r>
        <w:rPr>
          <w:rFonts w:eastAsia="Lucida Sans Unicode" w:cs="Tahoma" w:ascii="Times New Roman" w:hAnsi="Times New Roman"/>
          <w:color w:val="FF0000"/>
          <w:sz w:val="24"/>
          <w:szCs w:val="24"/>
          <w:lang w:eastAsia="zh-CN"/>
        </w:rPr>
      </w:r>
    </w:p>
    <w:p>
      <w:pPr>
        <w:pStyle w:val="Font"/>
        <w:spacing w:lineRule="auto" w:line="360" w:before="0" w:after="0"/>
        <w:rPr>
          <w:color w:val="000000"/>
        </w:rPr>
      </w:pPr>
      <w:r>
        <w:rPr>
          <w:color w:val="000000"/>
        </w:rPr>
        <w:t xml:space="preserve">Programjaink egy részét közösen az Idősek Klubjával szervezzük. </w:t>
      </w:r>
    </w:p>
    <w:p>
      <w:pPr>
        <w:pStyle w:val="Font"/>
        <w:spacing w:lineRule="auto" w:line="360" w:before="0" w:after="0"/>
        <w:rPr/>
      </w:pPr>
      <w:r>
        <w:rPr/>
      </w:r>
    </w:p>
    <w:p>
      <w:pPr>
        <w:pStyle w:val="Font"/>
        <w:spacing w:lineRule="auto" w:line="360" w:before="0" w:after="0"/>
        <w:rPr/>
      </w:pPr>
      <w:r>
        <w:rPr/>
        <w:t>Nagyon jó a kapcsolatunk a községben lévő óvodával és iskolával, rendszeresen látogatnak el intézményünkbe és adnak műsort különböző ünnepségeken. Mi is többször meglátogattuk az óvodásokat, az idősek saját kezűleg készített süteménnyel, apróbb játékokkal kedveskedtek nekik. A Nemzetközi köznevelésr</w:t>
      </w:r>
      <w:r>
        <w:rPr>
          <w:rFonts w:cs="TimesNewRoman" w:ascii="TimesNewRoman" w:hAnsi="TimesNewRoman"/>
        </w:rPr>
        <w:t>ő</w:t>
      </w:r>
      <w:r>
        <w:rPr/>
        <w:t>l szóló jogszabály el</w:t>
      </w:r>
      <w:r>
        <w:rPr>
          <w:rFonts w:cs="TimesNewRoman" w:ascii="TimesNewRoman" w:hAnsi="TimesNewRoman"/>
        </w:rPr>
        <w:t>ő</w:t>
      </w:r>
      <w:r>
        <w:rPr/>
        <w:t>írásai szerint az érettségi megszerzésének feltétele az, hogy a diákok 50 óra közösségi szolgálatot teljesítsenek. Jelenleg 7 iskolával kötöttünk együttm</w:t>
      </w:r>
      <w:r>
        <w:rPr>
          <w:rFonts w:cs="TimesNewRoman" w:ascii="TimesNewRoman" w:hAnsi="TimesNewRoman"/>
        </w:rPr>
        <w:t>ű</w:t>
      </w:r>
      <w:r>
        <w:rPr/>
        <w:t>ködési megállapodást, így már folyamatosan érkeznek intézményünkbe a közösségi szolgálatot teljesít</w:t>
      </w:r>
      <w:r>
        <w:rPr>
          <w:rFonts w:cs="TimesNewRoman" w:ascii="TimesNewRoman" w:hAnsi="TimesNewRoman"/>
        </w:rPr>
        <w:t xml:space="preserve">ő </w:t>
      </w:r>
      <w:r>
        <w:rPr/>
        <w:t>diákok. Szívesen vesznek részt a foglakozásokon, felolvasnak az ágyhoz kötött gondozottaknak, beszélgetnek, segítenek a környezet szebbé tételében. Az informatika iránt érdeklődő ellátottaknak segítenek a számítógéppel megismerkedni, képeket nézegetnek, mulatószenét hallgatnak rajta.</w:t>
      </w:r>
    </w:p>
    <w:p>
      <w:pPr>
        <w:pStyle w:val="Normal"/>
        <w:widowControl w:val="false"/>
        <w:suppressAutoHyphens w:val="true"/>
        <w:spacing w:lineRule="auto" w:line="360" w:before="0" w:after="0"/>
        <w:jc w:val="both"/>
        <w:textAlignment w:val="baseline"/>
        <w:rPr>
          <w:rFonts w:ascii="Times New Roman" w:hAnsi="Times New Roman" w:eastAsia="Lucida Sans Unicode" w:cs="Tahoma"/>
          <w:b/>
          <w:b/>
          <w:bCs/>
          <w:sz w:val="24"/>
          <w:szCs w:val="24"/>
          <w:lang w:eastAsia="zh-CN"/>
        </w:rPr>
      </w:pPr>
      <w:r>
        <w:rPr>
          <w:rFonts w:eastAsia="Lucida Sans Unicode" w:cs="Tahoma" w:ascii="Times New Roman" w:hAnsi="Times New Roman"/>
          <w:sz w:val="24"/>
          <w:szCs w:val="24"/>
          <w:lang w:eastAsia="zh-CN"/>
        </w:rPr>
        <w:t>Az intézmény működését házirend szabályozza, ami a faliújságon kifüggesztésre került, bárki számára megtekinthető.</w:t>
      </w:r>
    </w:p>
    <w:p>
      <w:pPr>
        <w:pStyle w:val="Normal"/>
        <w:widowControl w:val="false"/>
        <w:suppressAutoHyphens w:val="true"/>
        <w:spacing w:lineRule="auto" w:line="360"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b/>
          <w:bCs/>
          <w:sz w:val="24"/>
          <w:szCs w:val="24"/>
          <w:lang w:eastAsia="zh-CN"/>
        </w:rPr>
        <w:t>Idősek Otthoni jelenleg részesül: 32fő</w:t>
      </w:r>
    </w:p>
    <w:p>
      <w:pPr>
        <w:pStyle w:val="Standard"/>
        <w:spacing w:lineRule="auto" w:line="360"/>
        <w:rPr/>
      </w:pPr>
      <w:r>
        <w:rPr>
          <w:b/>
          <w:bCs/>
        </w:rPr>
        <w:t xml:space="preserve">Térítési díj: </w:t>
      </w:r>
      <w:r>
        <w:rPr>
          <w:bCs/>
        </w:rPr>
        <w:t>80.400.Ft.-/hó</w:t>
      </w:r>
    </w:p>
    <w:p>
      <w:pPr>
        <w:pStyle w:val="Standard"/>
        <w:spacing w:lineRule="auto" w:line="360"/>
        <w:rPr/>
      </w:pPr>
      <w:r>
        <w:rPr>
          <w:b/>
        </w:rPr>
        <w:t>Térítési díjak alakulása</w:t>
      </w:r>
      <w:r>
        <w:rPr/>
        <w:t xml:space="preserve"> 2017. december 31-én:</w:t>
      </w:r>
    </w:p>
    <w:p>
      <w:pPr>
        <w:pStyle w:val="Normal"/>
        <w:spacing w:lineRule="auto" w:line="360" w:before="0" w:after="0"/>
        <w:rPr>
          <w:rFonts w:ascii="Times New Roman" w:hAnsi="Times New Roman" w:eastAsia="Times New Roman"/>
          <w:sz w:val="24"/>
          <w:szCs w:val="24"/>
        </w:rPr>
      </w:pPr>
      <w:r>
        <w:rPr>
          <w:rFonts w:eastAsia="Times New Roman" w:ascii="Times New Roman" w:hAnsi="Times New Roman"/>
          <w:sz w:val="24"/>
          <w:szCs w:val="24"/>
        </w:rPr>
        <w:t>Beszedett térítés díj összege: 28.118.000 Ft,-</w:t>
      </w:r>
    </w:p>
    <w:p>
      <w:pPr>
        <w:pStyle w:val="Normal"/>
        <w:spacing w:lineRule="auto" w:line="360" w:before="0" w:after="0"/>
        <w:rPr>
          <w:rFonts w:ascii="Times New Roman" w:hAnsi="Times New Roman" w:eastAsia="Times New Roman"/>
          <w:sz w:val="24"/>
          <w:szCs w:val="24"/>
        </w:rPr>
      </w:pPr>
      <w:r>
        <w:rPr>
          <w:rFonts w:eastAsia="Times New Roman" w:ascii="Times New Roman" w:hAnsi="Times New Roman"/>
          <w:sz w:val="24"/>
          <w:szCs w:val="24"/>
        </w:rPr>
        <w:t>Támogatás összege: 1.063.405Ft,-</w:t>
      </w:r>
    </w:p>
    <w:p>
      <w:pPr>
        <w:pStyle w:val="Standard"/>
        <w:spacing w:lineRule="auto" w:line="360"/>
        <w:jc w:val="both"/>
        <w:rPr>
          <w:bCs/>
        </w:rPr>
      </w:pPr>
      <w:r>
        <w:rPr/>
        <w:t xml:space="preserve">Térítési díj hátralék: </w:t>
      </w:r>
      <w:r>
        <w:rPr>
          <w:bCs/>
        </w:rPr>
        <w:t>nincs</w:t>
      </w:r>
    </w:p>
    <w:p>
      <w:pPr>
        <w:pStyle w:val="Standard"/>
        <w:spacing w:lineRule="auto" w:line="360"/>
        <w:jc w:val="both"/>
        <w:rPr>
          <w:bCs/>
        </w:rPr>
      </w:pPr>
      <w:r>
        <w:rPr/>
        <w:t>Beszedett térítési díj felosztása:</w:t>
      </w:r>
    </w:p>
    <w:p>
      <w:pPr>
        <w:pStyle w:val="Font"/>
        <w:spacing w:before="0" w:after="0"/>
        <w:rPr>
          <w:color w:val="FF0000"/>
        </w:rPr>
      </w:pPr>
      <w:r>
        <w:rPr>
          <w:color w:val="FF0000"/>
        </w:rPr>
      </w:r>
    </w:p>
    <w:tbl>
      <w:tblPr>
        <w:tblW w:w="9664" w:type="dxa"/>
        <w:jc w:val="left"/>
        <w:tblInd w:w="10" w:type="dxa"/>
        <w:tblBorders>
          <w:top w:val="single" w:sz="2" w:space="0" w:color="000001"/>
          <w:left w:val="single" w:sz="2" w:space="0" w:color="000001"/>
          <w:bottom w:val="single" w:sz="2" w:space="0" w:color="000001"/>
          <w:insideH w:val="single" w:sz="2" w:space="0" w:color="000001"/>
        </w:tblBorders>
        <w:tblCellMar>
          <w:top w:w="0" w:type="dxa"/>
          <w:left w:w="7" w:type="dxa"/>
          <w:bottom w:w="0" w:type="dxa"/>
          <w:right w:w="10" w:type="dxa"/>
        </w:tblCellMar>
        <w:tblLook w:firstRow="1" w:noVBand="1" w:lastRow="0" w:firstColumn="1" w:lastColumn="0" w:noHBand="0" w:val="04a0"/>
      </w:tblPr>
      <w:tblGrid>
        <w:gridCol w:w="1108"/>
        <w:gridCol w:w="5314"/>
        <w:gridCol w:w="3242"/>
      </w:tblGrid>
      <w:tr>
        <w:trPr/>
        <w:tc>
          <w:tcPr>
            <w:tcW w:w="6422" w:type="dxa"/>
            <w:gridSpan w:val="2"/>
            <w:tcBorders>
              <w:top w:val="single" w:sz="2" w:space="0" w:color="000001"/>
              <w:left w:val="single" w:sz="2" w:space="0" w:color="000001"/>
              <w:bottom w:val="single" w:sz="2" w:space="0" w:color="000001"/>
              <w:insideH w:val="single" w:sz="2" w:space="0" w:color="000001"/>
            </w:tcBorders>
            <w:shd w:fill="auto" w:val="clear"/>
            <w:tcMar>
              <w:left w:w="7" w:type="dxa"/>
            </w:tcMar>
          </w:tcPr>
          <w:p>
            <w:pPr>
              <w:pStyle w:val="Tblzattartalom"/>
              <w:snapToGrid w:val="false"/>
              <w:jc w:val="center"/>
              <w:rPr>
                <w:b/>
                <w:b/>
              </w:rPr>
            </w:pPr>
            <w:r>
              <w:rPr>
                <w:b/>
              </w:rPr>
              <w:t>Megnevezés</w:t>
            </w:r>
          </w:p>
        </w:tc>
        <w:tc>
          <w:tcPr>
            <w:tcW w:w="324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tcPr>
          <w:p>
            <w:pPr>
              <w:pStyle w:val="Tblzattartalom"/>
              <w:snapToGrid w:val="false"/>
              <w:jc w:val="center"/>
              <w:rPr>
                <w:b/>
                <w:b/>
              </w:rPr>
            </w:pPr>
            <w:r>
              <w:rPr>
                <w:b/>
              </w:rPr>
              <w:t>Fő</w:t>
            </w:r>
          </w:p>
        </w:tc>
      </w:tr>
      <w:tr>
        <w:trPr>
          <w:trHeight w:val="23" w:hRule="exact"/>
        </w:trPr>
        <w:tc>
          <w:tcPr>
            <w:tcW w:w="6422" w:type="dxa"/>
            <w:gridSpan w:val="2"/>
            <w:tcBorders>
              <w:left w:val="single" w:sz="2" w:space="0" w:color="000001"/>
              <w:bottom w:val="single" w:sz="2" w:space="0" w:color="000001"/>
              <w:insideH w:val="single" w:sz="2" w:space="0" w:color="000001"/>
            </w:tcBorders>
            <w:shd w:fill="auto" w:val="clear"/>
            <w:tcMar>
              <w:left w:w="7" w:type="dxa"/>
            </w:tcMar>
          </w:tcPr>
          <w:p>
            <w:pPr>
              <w:pStyle w:val="Tblzattartalom"/>
              <w:snapToGrid w:val="false"/>
              <w:jc w:val="center"/>
              <w:rPr/>
            </w:pPr>
            <w:r>
              <w:rPr/>
            </w:r>
          </w:p>
        </w:tc>
        <w:tc>
          <w:tcPr>
            <w:tcW w:w="3242"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tcPr>
          <w:p>
            <w:pPr>
              <w:pStyle w:val="Tblzattartalom"/>
              <w:snapToGrid w:val="false"/>
              <w:jc w:val="center"/>
              <w:rPr/>
            </w:pPr>
            <w:r>
              <w:rPr/>
            </w:r>
          </w:p>
        </w:tc>
      </w:tr>
      <w:tr>
        <w:trPr/>
        <w:tc>
          <w:tcPr>
            <w:tcW w:w="6422" w:type="dxa"/>
            <w:gridSpan w:val="2"/>
            <w:tcBorders>
              <w:left w:val="single" w:sz="2" w:space="0" w:color="000001"/>
              <w:bottom w:val="single" w:sz="2" w:space="0" w:color="000001"/>
              <w:insideH w:val="single" w:sz="2" w:space="0" w:color="000001"/>
            </w:tcBorders>
            <w:shd w:fill="auto" w:val="clear"/>
            <w:tcMar>
              <w:left w:w="7" w:type="dxa"/>
            </w:tcMar>
            <w:vAlign w:val="center"/>
          </w:tcPr>
          <w:p>
            <w:pPr>
              <w:pStyle w:val="Tblzattartalom"/>
              <w:snapToGrid w:val="false"/>
              <w:jc w:val="center"/>
              <w:rPr/>
            </w:pPr>
            <w:r>
              <w:rPr/>
              <w:t>Térítési díj fizetésére kötelezettek száma összesen</w:t>
            </w:r>
          </w:p>
        </w:tc>
        <w:tc>
          <w:tcPr>
            <w:tcW w:w="3242"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vAlign w:val="center"/>
          </w:tcPr>
          <w:p>
            <w:pPr>
              <w:pStyle w:val="Tblzattartalom"/>
              <w:snapToGrid w:val="false"/>
              <w:jc w:val="center"/>
              <w:rPr/>
            </w:pPr>
            <w:r>
              <w:rPr/>
            </w:r>
          </w:p>
          <w:p>
            <w:pPr>
              <w:pStyle w:val="Tblzattartalom"/>
              <w:snapToGrid w:val="false"/>
              <w:jc w:val="center"/>
              <w:rPr/>
            </w:pPr>
            <w:r>
              <w:rPr/>
              <w:t>32</w:t>
            </w:r>
          </w:p>
        </w:tc>
      </w:tr>
      <w:tr>
        <w:trPr>
          <w:cantSplit w:val="true"/>
        </w:trPr>
        <w:tc>
          <w:tcPr>
            <w:tcW w:w="1108" w:type="dxa"/>
            <w:vMerge w:val="restart"/>
            <w:tcBorders>
              <w:left w:val="single" w:sz="2" w:space="0" w:color="000001"/>
              <w:bottom w:val="single" w:sz="2" w:space="0" w:color="000001"/>
              <w:insideH w:val="single" w:sz="2" w:space="0" w:color="000001"/>
            </w:tcBorders>
            <w:shd w:fill="auto" w:val="clear"/>
            <w:tcMar>
              <w:left w:w="7" w:type="dxa"/>
            </w:tcMar>
            <w:vAlign w:val="center"/>
          </w:tcPr>
          <w:p>
            <w:pPr>
              <w:pStyle w:val="Tblzattartalom"/>
              <w:snapToGrid w:val="false"/>
              <w:jc w:val="center"/>
              <w:rPr/>
            </w:pPr>
            <w:r>
              <w:rPr/>
              <w:t>Ebből</w:t>
            </w:r>
          </w:p>
        </w:tc>
        <w:tc>
          <w:tcPr>
            <w:tcW w:w="5314" w:type="dxa"/>
            <w:tcBorders>
              <w:left w:val="single" w:sz="2" w:space="0" w:color="000001"/>
              <w:bottom w:val="single" w:sz="2" w:space="0" w:color="000001"/>
              <w:insideH w:val="single" w:sz="2" w:space="0" w:color="000001"/>
            </w:tcBorders>
            <w:shd w:fill="auto" w:val="clear"/>
            <w:tcMar>
              <w:left w:w="7" w:type="dxa"/>
            </w:tcMar>
            <w:vAlign w:val="center"/>
          </w:tcPr>
          <w:p>
            <w:pPr>
              <w:pStyle w:val="Tblzattartalom"/>
              <w:snapToGrid w:val="false"/>
              <w:jc w:val="center"/>
              <w:rPr/>
            </w:pPr>
            <w:r>
              <w:rPr/>
              <w:t>Csak gondozott fizet</w:t>
            </w:r>
          </w:p>
        </w:tc>
        <w:tc>
          <w:tcPr>
            <w:tcW w:w="3242"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vAlign w:val="center"/>
          </w:tcPr>
          <w:p>
            <w:pPr>
              <w:pStyle w:val="Tblzattartalom"/>
              <w:snapToGrid w:val="false"/>
              <w:jc w:val="center"/>
              <w:rPr/>
            </w:pPr>
            <w:r>
              <w:rPr/>
              <w:t>15</w:t>
            </w:r>
          </w:p>
          <w:p>
            <w:pPr>
              <w:pStyle w:val="Tblzattartalom"/>
              <w:snapToGrid w:val="false"/>
              <w:jc w:val="center"/>
              <w:rPr/>
            </w:pPr>
            <w:r>
              <w:rPr/>
            </w:r>
          </w:p>
        </w:tc>
      </w:tr>
      <w:tr>
        <w:trPr>
          <w:cantSplit w:val="true"/>
        </w:trPr>
        <w:tc>
          <w:tcPr>
            <w:tcW w:w="1108" w:type="dxa"/>
            <w:vMerge w:val="continue"/>
            <w:tcBorders>
              <w:left w:val="single" w:sz="2" w:space="0" w:color="000001"/>
              <w:bottom w:val="single" w:sz="2" w:space="0" w:color="000001"/>
              <w:insideH w:val="single" w:sz="2" w:space="0" w:color="000001"/>
            </w:tcBorders>
            <w:shd w:fill="auto" w:val="clear"/>
            <w:tcMar>
              <w:left w:w="7" w:type="dxa"/>
            </w:tcMar>
            <w:vAlign w:val="center"/>
          </w:tcPr>
          <w:p>
            <w:pPr>
              <w:pStyle w:val="Normal"/>
              <w:spacing w:before="0" w:after="200"/>
              <w:rPr>
                <w:rFonts w:eastAsia="Lucida Sans Unicode" w:cs="Tahoma"/>
                <w:sz w:val="24"/>
                <w:szCs w:val="24"/>
                <w:lang w:eastAsia="zh-CN"/>
              </w:rPr>
            </w:pPr>
            <w:r>
              <w:rPr>
                <w:rFonts w:eastAsia="Lucida Sans Unicode" w:cs="Tahoma"/>
                <w:sz w:val="24"/>
                <w:szCs w:val="24"/>
                <w:lang w:eastAsia="zh-CN"/>
              </w:rPr>
            </w:r>
          </w:p>
        </w:tc>
        <w:tc>
          <w:tcPr>
            <w:tcW w:w="5314" w:type="dxa"/>
            <w:tcBorders>
              <w:left w:val="single" w:sz="2" w:space="0" w:color="000001"/>
              <w:bottom w:val="single" w:sz="2" w:space="0" w:color="000001"/>
              <w:insideH w:val="single" w:sz="2" w:space="0" w:color="000001"/>
            </w:tcBorders>
            <w:shd w:fill="auto" w:val="clear"/>
            <w:tcMar>
              <w:left w:w="7" w:type="dxa"/>
            </w:tcMar>
            <w:vAlign w:val="center"/>
          </w:tcPr>
          <w:p>
            <w:pPr>
              <w:pStyle w:val="Tblzattartalom"/>
              <w:snapToGrid w:val="false"/>
              <w:jc w:val="center"/>
              <w:rPr/>
            </w:pPr>
            <w:r>
              <w:rPr/>
              <w:t>Intézményi térítési díjjal azonos személyi térítési díjat írásban vállalók száma</w:t>
            </w:r>
          </w:p>
        </w:tc>
        <w:tc>
          <w:tcPr>
            <w:tcW w:w="3242"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vAlign w:val="center"/>
          </w:tcPr>
          <w:p>
            <w:pPr>
              <w:pStyle w:val="Tblzattartalom"/>
              <w:snapToGrid w:val="false"/>
              <w:jc w:val="center"/>
              <w:rPr/>
            </w:pPr>
            <w:r>
              <w:rPr/>
              <w:t>17</w:t>
            </w:r>
          </w:p>
        </w:tc>
      </w:tr>
      <w:tr>
        <w:trPr/>
        <w:tc>
          <w:tcPr>
            <w:tcW w:w="1108" w:type="dxa"/>
            <w:tcBorders>
              <w:left w:val="single" w:sz="2" w:space="0" w:color="000001"/>
              <w:bottom w:val="single" w:sz="2" w:space="0" w:color="000001"/>
              <w:insideH w:val="single" w:sz="2" w:space="0" w:color="000001"/>
            </w:tcBorders>
            <w:shd w:fill="auto" w:val="clear"/>
            <w:tcMar>
              <w:left w:w="7" w:type="dxa"/>
            </w:tcMar>
          </w:tcPr>
          <w:p>
            <w:pPr>
              <w:pStyle w:val="Tblzattartalom"/>
              <w:snapToGrid w:val="false"/>
              <w:jc w:val="both"/>
              <w:rPr/>
            </w:pPr>
            <w:r>
              <w:rPr/>
            </w:r>
          </w:p>
        </w:tc>
        <w:tc>
          <w:tcPr>
            <w:tcW w:w="5314" w:type="dxa"/>
            <w:tcBorders>
              <w:left w:val="single" w:sz="2" w:space="0" w:color="000001"/>
              <w:bottom w:val="single" w:sz="2" w:space="0" w:color="000001"/>
              <w:insideH w:val="single" w:sz="2" w:space="0" w:color="000001"/>
            </w:tcBorders>
            <w:shd w:fill="auto" w:val="clear"/>
            <w:tcMar>
              <w:left w:w="7" w:type="dxa"/>
            </w:tcMar>
            <w:vAlign w:val="center"/>
          </w:tcPr>
          <w:p>
            <w:pPr>
              <w:pStyle w:val="Tblzattartalom"/>
              <w:snapToGrid w:val="false"/>
              <w:jc w:val="center"/>
              <w:rPr/>
            </w:pPr>
            <w:r>
              <w:rPr/>
              <w:t>Gondozott fizet és önkormányzat támogatja</w:t>
            </w:r>
          </w:p>
          <w:p>
            <w:pPr>
              <w:pStyle w:val="Tblzattartalom"/>
              <w:snapToGrid w:val="false"/>
              <w:jc w:val="center"/>
              <w:rPr/>
            </w:pPr>
            <w:r>
              <w:rPr/>
            </w:r>
          </w:p>
        </w:tc>
        <w:tc>
          <w:tcPr>
            <w:tcW w:w="3242"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vAlign w:val="center"/>
          </w:tcPr>
          <w:p>
            <w:pPr>
              <w:pStyle w:val="Tblzattartalom"/>
              <w:snapToGrid w:val="false"/>
              <w:jc w:val="center"/>
              <w:rPr/>
            </w:pPr>
            <w:r>
              <w:rPr/>
              <w:t>4</w:t>
            </w:r>
          </w:p>
        </w:tc>
      </w:tr>
    </w:tbl>
    <w:p>
      <w:pPr>
        <w:pStyle w:val="Font"/>
        <w:spacing w:before="0" w:after="0"/>
        <w:rPr/>
      </w:pPr>
      <w:r>
        <w:rPr/>
      </w:r>
    </w:p>
    <w:p>
      <w:pPr>
        <w:pStyle w:val="Font"/>
        <w:spacing w:lineRule="auto" w:line="276" w:before="0" w:after="0"/>
        <w:rPr/>
      </w:pPr>
      <w:r>
        <w:rPr/>
        <w:t>Ingyenes ellátásban nem részesül senki.</w:t>
      </w:r>
    </w:p>
    <w:p>
      <w:pPr>
        <w:pStyle w:val="Font"/>
        <w:spacing w:lineRule="auto" w:line="276" w:before="0" w:after="0"/>
        <w:rPr/>
      </w:pPr>
      <w:r>
        <w:rPr/>
      </w:r>
    </w:p>
    <w:p>
      <w:pPr>
        <w:pStyle w:val="Font"/>
        <w:spacing w:lineRule="auto" w:line="276" w:before="0" w:after="0"/>
        <w:rPr/>
      </w:pPr>
      <w:r>
        <w:rPr/>
        <w:t>Ellátotti létszám alakulása:</w:t>
      </w:r>
    </w:p>
    <w:p>
      <w:pPr>
        <w:pStyle w:val="Standard"/>
        <w:jc w:val="both"/>
        <w:rPr>
          <w:b/>
          <w:b/>
          <w:bCs/>
        </w:rPr>
      </w:pPr>
      <w:r>
        <w:rPr>
          <w:b/>
          <w:bCs/>
        </w:rPr>
      </w:r>
    </w:p>
    <w:tbl>
      <w:tblPr>
        <w:tblW w:w="9356" w:type="dxa"/>
        <w:jc w:val="left"/>
        <w:tblInd w:w="-132" w:type="dxa"/>
        <w:tblBorders>
          <w:top w:val="single" w:sz="2" w:space="0" w:color="000001"/>
          <w:left w:val="single" w:sz="2" w:space="0" w:color="000001"/>
          <w:bottom w:val="single" w:sz="2" w:space="0" w:color="000001"/>
          <w:insideH w:val="single" w:sz="2" w:space="0" w:color="000001"/>
        </w:tblBorders>
        <w:tblCellMar>
          <w:top w:w="0" w:type="dxa"/>
          <w:left w:w="7" w:type="dxa"/>
          <w:bottom w:w="0" w:type="dxa"/>
          <w:right w:w="10" w:type="dxa"/>
        </w:tblCellMar>
        <w:tblLook w:firstRow="1" w:noVBand="1" w:lastRow="0" w:firstColumn="1" w:lastColumn="0" w:noHBand="0" w:val="04a0"/>
      </w:tblPr>
      <w:tblGrid>
        <w:gridCol w:w="4761"/>
        <w:gridCol w:w="4594"/>
      </w:tblGrid>
      <w:tr>
        <w:trPr/>
        <w:tc>
          <w:tcPr>
            <w:tcW w:w="4761" w:type="dxa"/>
            <w:tcBorders>
              <w:top w:val="single" w:sz="2" w:space="0" w:color="000001"/>
              <w:left w:val="single" w:sz="2" w:space="0" w:color="000001"/>
              <w:bottom w:val="single" w:sz="2" w:space="0" w:color="000001"/>
              <w:insideH w:val="single" w:sz="2" w:space="0" w:color="000001"/>
            </w:tcBorders>
            <w:shd w:fill="auto" w:val="clear"/>
            <w:tcMar>
              <w:left w:w="7" w:type="dxa"/>
            </w:tcMar>
          </w:tcPr>
          <w:p>
            <w:pPr>
              <w:pStyle w:val="Normal"/>
              <w:widowControl w:val="false"/>
              <w:suppressAutoHyphens w:val="true"/>
              <w:spacing w:beforeAutospacing="1" w:after="200"/>
              <w:jc w:val="center"/>
              <w:rPr>
                <w:rFonts w:ascii="Times New Roman" w:hAnsi="Times New Roman"/>
                <w:b/>
                <w:b/>
                <w:sz w:val="24"/>
                <w:szCs w:val="24"/>
              </w:rPr>
            </w:pPr>
            <w:r>
              <w:rPr>
                <w:rFonts w:ascii="Times New Roman" w:hAnsi="Times New Roman"/>
                <w:b/>
                <w:sz w:val="24"/>
                <w:szCs w:val="24"/>
              </w:rPr>
            </w:r>
          </w:p>
          <w:p>
            <w:pPr>
              <w:pStyle w:val="Normal"/>
              <w:widowControl w:val="false"/>
              <w:suppressAutoHyphens w:val="true"/>
              <w:spacing w:beforeAutospacing="1" w:after="120"/>
              <w:jc w:val="center"/>
              <w:rPr>
                <w:rFonts w:ascii="Times New Roman" w:hAnsi="Times New Roman" w:eastAsia="Lucida Sans Unicode"/>
                <w:b/>
                <w:b/>
                <w:sz w:val="24"/>
                <w:szCs w:val="24"/>
                <w:lang w:eastAsia="zh-CN"/>
              </w:rPr>
            </w:pPr>
            <w:r>
              <w:rPr>
                <w:rFonts w:ascii="Times New Roman" w:hAnsi="Times New Roman"/>
                <w:b/>
                <w:sz w:val="24"/>
                <w:szCs w:val="24"/>
              </w:rPr>
              <w:t>Megnevezés</w:t>
            </w:r>
          </w:p>
        </w:tc>
        <w:tc>
          <w:tcPr>
            <w:tcW w:w="459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vAlign w:val="center"/>
          </w:tcPr>
          <w:p>
            <w:pPr>
              <w:pStyle w:val="Tblzattartalom"/>
              <w:snapToGrid w:val="false"/>
              <w:jc w:val="center"/>
              <w:rPr/>
            </w:pPr>
            <w:r>
              <w:rPr>
                <w:b/>
                <w:bCs/>
              </w:rPr>
              <w:t>Idősek Otthona létszám (fő)</w:t>
            </w:r>
          </w:p>
        </w:tc>
      </w:tr>
      <w:tr>
        <w:trPr/>
        <w:tc>
          <w:tcPr>
            <w:tcW w:w="4761" w:type="dxa"/>
            <w:tcBorders>
              <w:left w:val="single" w:sz="2" w:space="0" w:color="000001"/>
              <w:bottom w:val="single" w:sz="2" w:space="0" w:color="000001"/>
              <w:insideH w:val="single" w:sz="2" w:space="0" w:color="000001"/>
            </w:tcBorders>
            <w:shd w:fill="auto" w:val="clear"/>
            <w:tcMar>
              <w:left w:w="7" w:type="dxa"/>
            </w:tcMar>
          </w:tcPr>
          <w:p>
            <w:pPr>
              <w:pStyle w:val="Tblzattartalom"/>
              <w:snapToGrid w:val="false"/>
              <w:rPr/>
            </w:pPr>
            <w:r>
              <w:rPr/>
              <w:t>2016.12.31. létszám</w:t>
            </w:r>
          </w:p>
          <w:p>
            <w:pPr>
              <w:pStyle w:val="Tblzattartalom"/>
              <w:snapToGrid w:val="false"/>
              <w:rPr/>
            </w:pPr>
            <w:r>
              <w:rPr/>
            </w:r>
          </w:p>
        </w:tc>
        <w:tc>
          <w:tcPr>
            <w:tcW w:w="4594"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vAlign w:val="center"/>
          </w:tcPr>
          <w:p>
            <w:pPr>
              <w:pStyle w:val="Tblzattartalom"/>
              <w:snapToGrid w:val="false"/>
              <w:jc w:val="center"/>
              <w:rPr/>
            </w:pPr>
            <w:r>
              <w:rPr/>
              <w:t>32</w:t>
            </w:r>
          </w:p>
        </w:tc>
      </w:tr>
      <w:tr>
        <w:trPr>
          <w:trHeight w:val="461" w:hRule="atLeast"/>
        </w:trPr>
        <w:tc>
          <w:tcPr>
            <w:tcW w:w="4761" w:type="dxa"/>
            <w:tcBorders>
              <w:left w:val="single" w:sz="2" w:space="0" w:color="000001"/>
              <w:bottom w:val="single" w:sz="2" w:space="0" w:color="000001"/>
              <w:insideH w:val="single" w:sz="2" w:space="0" w:color="000001"/>
            </w:tcBorders>
            <w:shd w:fill="auto" w:val="clear"/>
            <w:tcMar>
              <w:left w:w="7" w:type="dxa"/>
            </w:tcMar>
          </w:tcPr>
          <w:p>
            <w:pPr>
              <w:pStyle w:val="Tblzattartalom"/>
              <w:snapToGrid w:val="false"/>
              <w:rPr/>
            </w:pPr>
            <w:r>
              <w:rPr/>
              <w:t>Tárgyév folyamán ellátásba vettek</w:t>
            </w:r>
          </w:p>
          <w:p>
            <w:pPr>
              <w:pStyle w:val="Tblzattartalom"/>
              <w:snapToGrid w:val="false"/>
              <w:rPr/>
            </w:pPr>
            <w:r>
              <w:rPr/>
            </w:r>
          </w:p>
        </w:tc>
        <w:tc>
          <w:tcPr>
            <w:tcW w:w="4594"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vAlign w:val="center"/>
          </w:tcPr>
          <w:p>
            <w:pPr>
              <w:pStyle w:val="Tblzattartalom"/>
              <w:snapToGrid w:val="false"/>
              <w:jc w:val="center"/>
              <w:rPr/>
            </w:pPr>
            <w:r>
              <w:rPr/>
              <w:t>12</w:t>
            </w:r>
          </w:p>
        </w:tc>
      </w:tr>
      <w:tr>
        <w:trPr/>
        <w:tc>
          <w:tcPr>
            <w:tcW w:w="4761" w:type="dxa"/>
            <w:tcBorders>
              <w:left w:val="single" w:sz="2" w:space="0" w:color="000001"/>
              <w:bottom w:val="single" w:sz="2" w:space="0" w:color="000001"/>
              <w:insideH w:val="single" w:sz="2" w:space="0" w:color="000001"/>
            </w:tcBorders>
            <w:shd w:fill="auto" w:val="clear"/>
            <w:tcMar>
              <w:left w:w="7" w:type="dxa"/>
            </w:tcMar>
          </w:tcPr>
          <w:p>
            <w:pPr>
              <w:pStyle w:val="Tblzattartalom"/>
              <w:snapToGrid w:val="false"/>
              <w:rPr/>
            </w:pPr>
            <w:r>
              <w:rPr/>
              <w:t>Tárgyév folyamán ellátásból kikerültek</w:t>
            </w:r>
          </w:p>
          <w:p>
            <w:pPr>
              <w:pStyle w:val="Tblzattartalom"/>
              <w:snapToGrid w:val="false"/>
              <w:rPr/>
            </w:pPr>
            <w:r>
              <w:rPr/>
            </w:r>
          </w:p>
        </w:tc>
        <w:tc>
          <w:tcPr>
            <w:tcW w:w="4594"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vAlign w:val="center"/>
          </w:tcPr>
          <w:p>
            <w:pPr>
              <w:pStyle w:val="Tblzattartalom"/>
              <w:snapToGrid w:val="false"/>
              <w:jc w:val="center"/>
              <w:rPr/>
            </w:pPr>
            <w:r>
              <w:rPr/>
              <w:t>12</w:t>
            </w:r>
          </w:p>
        </w:tc>
      </w:tr>
      <w:tr>
        <w:trPr/>
        <w:tc>
          <w:tcPr>
            <w:tcW w:w="4761" w:type="dxa"/>
            <w:tcBorders>
              <w:left w:val="single" w:sz="2" w:space="0" w:color="000001"/>
              <w:bottom w:val="single" w:sz="2" w:space="0" w:color="000001"/>
              <w:insideH w:val="single" w:sz="2" w:space="0" w:color="000001"/>
            </w:tcBorders>
            <w:shd w:fill="auto" w:val="clear"/>
            <w:tcMar>
              <w:left w:w="7" w:type="dxa"/>
            </w:tcMar>
          </w:tcPr>
          <w:p>
            <w:pPr>
              <w:pStyle w:val="Normal"/>
              <w:widowControl w:val="false"/>
              <w:suppressAutoHyphens w:val="true"/>
              <w:snapToGrid w:val="false"/>
              <w:spacing w:before="0" w:after="200"/>
              <w:rPr>
                <w:rFonts w:eastAsia="Lucida Sans Unicode" w:cs="Tahoma"/>
                <w:sz w:val="24"/>
                <w:szCs w:val="24"/>
                <w:lang w:eastAsia="zh-CN"/>
              </w:rPr>
            </w:pPr>
            <w:r>
              <w:rPr>
                <w:rFonts w:eastAsia="Lucida Sans Unicode" w:cs="Tahoma"/>
                <w:sz w:val="24"/>
                <w:szCs w:val="24"/>
                <w:lang w:eastAsia="zh-CN"/>
              </w:rPr>
              <w:t>2017.12.31. létszám</w:t>
            </w:r>
          </w:p>
        </w:tc>
        <w:tc>
          <w:tcPr>
            <w:tcW w:w="4594"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vAlign w:val="center"/>
          </w:tcPr>
          <w:p>
            <w:pPr>
              <w:pStyle w:val="Tblzattartalom"/>
              <w:snapToGrid w:val="false"/>
              <w:jc w:val="center"/>
              <w:rPr/>
            </w:pPr>
            <w:r>
              <w:rPr/>
              <w:t>32</w:t>
            </w:r>
          </w:p>
        </w:tc>
      </w:tr>
    </w:tbl>
    <w:p>
      <w:pPr>
        <w:pStyle w:val="Standard"/>
        <w:spacing w:lineRule="auto" w:line="276"/>
        <w:jc w:val="both"/>
        <w:rPr>
          <w:bCs/>
        </w:rPr>
      </w:pPr>
      <w:r>
        <w:rPr>
          <w:bCs/>
        </w:rPr>
      </w:r>
    </w:p>
    <w:p>
      <w:pPr>
        <w:pStyle w:val="Standard"/>
        <w:spacing w:lineRule="auto" w:line="276"/>
        <w:jc w:val="both"/>
        <w:rPr>
          <w:bCs/>
        </w:rPr>
      </w:pPr>
      <w:r>
        <w:rPr/>
      </w:r>
    </w:p>
    <w:p>
      <w:pPr>
        <w:pStyle w:val="Standard"/>
        <w:spacing w:lineRule="auto" w:line="276"/>
        <w:jc w:val="both"/>
        <w:rPr>
          <w:bCs/>
        </w:rPr>
      </w:pPr>
      <w:r>
        <w:rPr/>
      </w:r>
    </w:p>
    <w:p>
      <w:pPr>
        <w:pStyle w:val="Standard"/>
        <w:spacing w:lineRule="auto" w:line="276"/>
        <w:jc w:val="both"/>
        <w:rPr>
          <w:bCs/>
        </w:rPr>
      </w:pPr>
      <w:r>
        <w:rPr/>
      </w:r>
    </w:p>
    <w:p>
      <w:pPr>
        <w:pStyle w:val="Standard"/>
        <w:spacing w:lineRule="auto" w:line="276"/>
        <w:jc w:val="both"/>
        <w:rPr>
          <w:bCs/>
        </w:rPr>
      </w:pPr>
      <w:r>
        <w:rPr/>
      </w:r>
    </w:p>
    <w:p>
      <w:pPr>
        <w:pStyle w:val="Standard"/>
        <w:spacing w:lineRule="auto" w:line="276"/>
        <w:jc w:val="both"/>
        <w:rPr>
          <w:bCs/>
        </w:rPr>
      </w:pPr>
      <w:r>
        <w:rPr/>
      </w:r>
    </w:p>
    <w:p>
      <w:pPr>
        <w:pStyle w:val="Standard"/>
        <w:spacing w:lineRule="auto" w:line="276"/>
        <w:jc w:val="both"/>
        <w:rPr>
          <w:bCs/>
        </w:rPr>
      </w:pPr>
      <w:r>
        <w:rPr/>
      </w:r>
    </w:p>
    <w:p>
      <w:pPr>
        <w:pStyle w:val="Standard"/>
        <w:spacing w:lineRule="auto" w:line="276"/>
        <w:jc w:val="both"/>
        <w:rPr>
          <w:bCs/>
        </w:rPr>
      </w:pPr>
      <w:r>
        <w:rPr/>
      </w:r>
    </w:p>
    <w:p>
      <w:pPr>
        <w:pStyle w:val="Standard"/>
        <w:spacing w:lineRule="auto" w:line="276"/>
        <w:jc w:val="both"/>
        <w:rPr>
          <w:bCs/>
        </w:rPr>
      </w:pPr>
      <w:r>
        <w:rPr/>
      </w:r>
    </w:p>
    <w:p>
      <w:pPr>
        <w:pStyle w:val="Standard"/>
        <w:spacing w:lineRule="auto" w:line="276"/>
        <w:jc w:val="both"/>
        <w:rPr>
          <w:bCs/>
        </w:rPr>
      </w:pPr>
      <w:r>
        <w:rPr/>
      </w:r>
    </w:p>
    <w:p>
      <w:pPr>
        <w:pStyle w:val="Standard"/>
        <w:spacing w:lineRule="auto" w:line="276"/>
        <w:jc w:val="both"/>
        <w:rPr>
          <w:bCs/>
        </w:rPr>
      </w:pPr>
      <w:r>
        <w:rPr>
          <w:bCs/>
        </w:rPr>
        <w:t>Demens ellátotti létszám alakulása:</w:t>
      </w:r>
    </w:p>
    <w:tbl>
      <w:tblPr>
        <w:tblW w:w="9356" w:type="dxa"/>
        <w:jc w:val="left"/>
        <w:tblInd w:w="-132" w:type="dxa"/>
        <w:tblBorders>
          <w:top w:val="single" w:sz="2" w:space="0" w:color="000001"/>
          <w:left w:val="single" w:sz="2" w:space="0" w:color="000001"/>
          <w:bottom w:val="single" w:sz="2" w:space="0" w:color="000001"/>
          <w:insideH w:val="single" w:sz="2" w:space="0" w:color="000001"/>
        </w:tblBorders>
        <w:tblCellMar>
          <w:top w:w="0" w:type="dxa"/>
          <w:left w:w="7" w:type="dxa"/>
          <w:bottom w:w="0" w:type="dxa"/>
          <w:right w:w="10" w:type="dxa"/>
        </w:tblCellMar>
        <w:tblLook w:firstRow="1" w:noVBand="1" w:lastRow="0" w:firstColumn="1" w:lastColumn="0" w:noHBand="0" w:val="04a0"/>
      </w:tblPr>
      <w:tblGrid>
        <w:gridCol w:w="4761"/>
        <w:gridCol w:w="4594"/>
      </w:tblGrid>
      <w:tr>
        <w:trPr/>
        <w:tc>
          <w:tcPr>
            <w:tcW w:w="4761" w:type="dxa"/>
            <w:tcBorders>
              <w:top w:val="single" w:sz="2" w:space="0" w:color="000001"/>
              <w:left w:val="single" w:sz="2" w:space="0" w:color="000001"/>
              <w:bottom w:val="single" w:sz="2" w:space="0" w:color="000001"/>
              <w:insideH w:val="single" w:sz="2" w:space="0" w:color="000001"/>
            </w:tcBorders>
            <w:shd w:fill="auto" w:val="clear"/>
            <w:tcMar>
              <w:left w:w="7" w:type="dxa"/>
            </w:tcMar>
          </w:tcPr>
          <w:p>
            <w:pPr>
              <w:pStyle w:val="Normal"/>
              <w:widowControl w:val="false"/>
              <w:suppressAutoHyphens w:val="true"/>
              <w:spacing w:beforeAutospacing="1" w:after="200"/>
              <w:jc w:val="center"/>
              <w:rPr>
                <w:rFonts w:ascii="Times New Roman" w:hAnsi="Times New Roman"/>
                <w:b/>
                <w:b/>
                <w:sz w:val="24"/>
                <w:szCs w:val="24"/>
              </w:rPr>
            </w:pPr>
            <w:r>
              <w:rPr>
                <w:rFonts w:ascii="Times New Roman" w:hAnsi="Times New Roman"/>
                <w:b/>
                <w:sz w:val="24"/>
                <w:szCs w:val="24"/>
              </w:rPr>
            </w:r>
          </w:p>
          <w:p>
            <w:pPr>
              <w:pStyle w:val="Normal"/>
              <w:widowControl w:val="false"/>
              <w:suppressAutoHyphens w:val="true"/>
              <w:spacing w:beforeAutospacing="1" w:after="120"/>
              <w:jc w:val="center"/>
              <w:rPr>
                <w:rFonts w:ascii="Times New Roman" w:hAnsi="Times New Roman" w:eastAsia="Lucida Sans Unicode"/>
                <w:b/>
                <w:b/>
                <w:sz w:val="24"/>
                <w:szCs w:val="24"/>
                <w:lang w:eastAsia="zh-CN"/>
              </w:rPr>
            </w:pPr>
            <w:r>
              <w:rPr>
                <w:rFonts w:ascii="Times New Roman" w:hAnsi="Times New Roman"/>
                <w:b/>
                <w:sz w:val="24"/>
                <w:szCs w:val="24"/>
              </w:rPr>
              <w:t>Megnevezés</w:t>
            </w:r>
          </w:p>
        </w:tc>
        <w:tc>
          <w:tcPr>
            <w:tcW w:w="459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vAlign w:val="center"/>
          </w:tcPr>
          <w:p>
            <w:pPr>
              <w:pStyle w:val="Tblzattartalom"/>
              <w:snapToGrid w:val="false"/>
              <w:jc w:val="center"/>
              <w:rPr/>
            </w:pPr>
            <w:r>
              <w:rPr>
                <w:b/>
                <w:bCs/>
              </w:rPr>
              <w:t>Idősek Otthona demens lakóinak létszám (fő)</w:t>
            </w:r>
          </w:p>
        </w:tc>
      </w:tr>
      <w:tr>
        <w:trPr/>
        <w:tc>
          <w:tcPr>
            <w:tcW w:w="4761" w:type="dxa"/>
            <w:tcBorders>
              <w:left w:val="single" w:sz="2" w:space="0" w:color="000001"/>
              <w:bottom w:val="single" w:sz="2" w:space="0" w:color="000001"/>
              <w:insideH w:val="single" w:sz="2" w:space="0" w:color="000001"/>
            </w:tcBorders>
            <w:shd w:fill="auto" w:val="clear"/>
            <w:tcMar>
              <w:left w:w="7" w:type="dxa"/>
            </w:tcMar>
          </w:tcPr>
          <w:p>
            <w:pPr>
              <w:pStyle w:val="Tblzattartalom"/>
              <w:snapToGrid w:val="false"/>
              <w:rPr/>
            </w:pPr>
            <w:r>
              <w:rPr/>
              <w:t>2016.12.31. létszám</w:t>
            </w:r>
          </w:p>
          <w:p>
            <w:pPr>
              <w:pStyle w:val="Tblzattartalom"/>
              <w:snapToGrid w:val="false"/>
              <w:rPr/>
            </w:pPr>
            <w:r>
              <w:rPr/>
            </w:r>
          </w:p>
        </w:tc>
        <w:tc>
          <w:tcPr>
            <w:tcW w:w="4594"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vAlign w:val="center"/>
          </w:tcPr>
          <w:p>
            <w:pPr>
              <w:pStyle w:val="Tblzattartalom"/>
              <w:snapToGrid w:val="false"/>
              <w:jc w:val="center"/>
              <w:rPr/>
            </w:pPr>
            <w:r>
              <w:rPr/>
              <w:t>18</w:t>
            </w:r>
          </w:p>
        </w:tc>
      </w:tr>
      <w:tr>
        <w:trPr>
          <w:trHeight w:val="461" w:hRule="atLeast"/>
        </w:trPr>
        <w:tc>
          <w:tcPr>
            <w:tcW w:w="4761" w:type="dxa"/>
            <w:tcBorders>
              <w:left w:val="single" w:sz="2" w:space="0" w:color="000001"/>
              <w:bottom w:val="single" w:sz="2" w:space="0" w:color="000001"/>
              <w:insideH w:val="single" w:sz="2" w:space="0" w:color="000001"/>
            </w:tcBorders>
            <w:shd w:fill="auto" w:val="clear"/>
            <w:tcMar>
              <w:left w:w="7" w:type="dxa"/>
            </w:tcMar>
          </w:tcPr>
          <w:p>
            <w:pPr>
              <w:pStyle w:val="Tblzattartalom"/>
              <w:snapToGrid w:val="false"/>
              <w:rPr/>
            </w:pPr>
            <w:r>
              <w:rPr/>
              <w:t>Tárgyév folyamán ellátásba vettek</w:t>
            </w:r>
          </w:p>
          <w:p>
            <w:pPr>
              <w:pStyle w:val="Tblzattartalom"/>
              <w:snapToGrid w:val="false"/>
              <w:rPr/>
            </w:pPr>
            <w:r>
              <w:rPr/>
            </w:r>
          </w:p>
        </w:tc>
        <w:tc>
          <w:tcPr>
            <w:tcW w:w="4594"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tcPr>
          <w:p>
            <w:pPr>
              <w:pStyle w:val="Tblzattartalom"/>
              <w:snapToGrid w:val="false"/>
              <w:jc w:val="center"/>
              <w:rPr/>
            </w:pPr>
            <w:r>
              <w:rPr/>
              <w:t>-</w:t>
            </w:r>
          </w:p>
        </w:tc>
      </w:tr>
      <w:tr>
        <w:trPr/>
        <w:tc>
          <w:tcPr>
            <w:tcW w:w="4761" w:type="dxa"/>
            <w:tcBorders>
              <w:left w:val="single" w:sz="2" w:space="0" w:color="000001"/>
              <w:bottom w:val="single" w:sz="2" w:space="0" w:color="000001"/>
              <w:insideH w:val="single" w:sz="2" w:space="0" w:color="000001"/>
            </w:tcBorders>
            <w:shd w:fill="auto" w:val="clear"/>
            <w:tcMar>
              <w:left w:w="7" w:type="dxa"/>
            </w:tcMar>
          </w:tcPr>
          <w:p>
            <w:pPr>
              <w:pStyle w:val="Tblzattartalom"/>
              <w:snapToGrid w:val="false"/>
              <w:rPr/>
            </w:pPr>
            <w:r>
              <w:rPr/>
              <w:t>Tárgyév folyamán ellátásból kikerültek</w:t>
            </w:r>
          </w:p>
          <w:p>
            <w:pPr>
              <w:pStyle w:val="Tblzattartalom"/>
              <w:snapToGrid w:val="false"/>
              <w:rPr/>
            </w:pPr>
            <w:r>
              <w:rPr/>
            </w:r>
          </w:p>
        </w:tc>
        <w:tc>
          <w:tcPr>
            <w:tcW w:w="4594"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vAlign w:val="center"/>
          </w:tcPr>
          <w:p>
            <w:pPr>
              <w:pStyle w:val="Tblzattartalom"/>
              <w:snapToGrid w:val="false"/>
              <w:jc w:val="center"/>
              <w:rPr/>
            </w:pPr>
            <w:r>
              <w:rPr/>
              <w:t>7</w:t>
            </w:r>
          </w:p>
        </w:tc>
      </w:tr>
      <w:tr>
        <w:trPr/>
        <w:tc>
          <w:tcPr>
            <w:tcW w:w="4761" w:type="dxa"/>
            <w:tcBorders>
              <w:left w:val="single" w:sz="2" w:space="0" w:color="000001"/>
              <w:bottom w:val="single" w:sz="2" w:space="0" w:color="000001"/>
              <w:insideH w:val="single" w:sz="2" w:space="0" w:color="000001"/>
            </w:tcBorders>
            <w:shd w:fill="auto" w:val="clear"/>
            <w:tcMar>
              <w:left w:w="7" w:type="dxa"/>
            </w:tcMar>
          </w:tcPr>
          <w:p>
            <w:pPr>
              <w:pStyle w:val="Normal"/>
              <w:widowControl w:val="false"/>
              <w:suppressAutoHyphens w:val="true"/>
              <w:snapToGrid w:val="false"/>
              <w:spacing w:before="0" w:after="200"/>
              <w:rPr>
                <w:rFonts w:eastAsia="Lucida Sans Unicode" w:cs="Tahoma"/>
                <w:sz w:val="24"/>
                <w:szCs w:val="24"/>
                <w:lang w:eastAsia="zh-CN"/>
              </w:rPr>
            </w:pPr>
            <w:r>
              <w:rPr>
                <w:rFonts w:eastAsia="Lucida Sans Unicode" w:cs="Tahoma"/>
                <w:sz w:val="24"/>
                <w:szCs w:val="24"/>
                <w:lang w:eastAsia="zh-CN"/>
              </w:rPr>
              <w:t>2017.12.31. létszám</w:t>
            </w:r>
          </w:p>
        </w:tc>
        <w:tc>
          <w:tcPr>
            <w:tcW w:w="4594"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7" w:type="dxa"/>
            </w:tcMar>
            <w:vAlign w:val="center"/>
          </w:tcPr>
          <w:p>
            <w:pPr>
              <w:pStyle w:val="Tblzattartalom"/>
              <w:snapToGrid w:val="false"/>
              <w:jc w:val="center"/>
              <w:rPr/>
            </w:pPr>
            <w:r>
              <w:rPr/>
              <w:t>11</w:t>
            </w:r>
          </w:p>
        </w:tc>
      </w:tr>
    </w:tbl>
    <w:p>
      <w:pPr>
        <w:pStyle w:val="Standard"/>
        <w:spacing w:lineRule="auto" w:line="276"/>
        <w:jc w:val="both"/>
        <w:rPr>
          <w:bCs/>
          <w:u w:val="single"/>
        </w:rPr>
      </w:pPr>
      <w:r>
        <w:rPr>
          <w:bCs/>
          <w:u w:val="single"/>
        </w:rPr>
      </w:r>
    </w:p>
    <w:p>
      <w:pPr>
        <w:pStyle w:val="Standard"/>
        <w:spacing w:lineRule="auto" w:line="276"/>
        <w:jc w:val="both"/>
        <w:rPr>
          <w:bCs/>
        </w:rPr>
      </w:pPr>
      <w:r>
        <w:rPr>
          <w:bCs/>
        </w:rPr>
        <w:t>Ellátottak kor szerinti megosztása:</w:t>
      </w:r>
    </w:p>
    <w:tbl>
      <w:tblPr>
        <w:tblStyle w:val="Rcsostblzat"/>
        <w:tblW w:w="9289" w:type="dxa"/>
        <w:jc w:val="center"/>
        <w:tblInd w:w="0" w:type="dxa"/>
        <w:tblCellMar>
          <w:top w:w="0" w:type="dxa"/>
          <w:left w:w="108" w:type="dxa"/>
          <w:bottom w:w="0" w:type="dxa"/>
          <w:right w:w="108" w:type="dxa"/>
        </w:tblCellMar>
        <w:tblLook w:firstRow="1" w:noVBand="1" w:lastRow="0" w:firstColumn="1" w:lastColumn="0" w:noHBand="0" w:val="04a0"/>
      </w:tblPr>
      <w:tblGrid>
        <w:gridCol w:w="2092"/>
        <w:gridCol w:w="4069"/>
        <w:gridCol w:w="3128"/>
      </w:tblGrid>
      <w:tr>
        <w:trPr>
          <w:trHeight w:val="454" w:hRule="atLeast"/>
        </w:trPr>
        <w:tc>
          <w:tcPr>
            <w:tcW w:w="2092" w:type="dxa"/>
            <w:tcBorders/>
            <w:shd w:fill="auto" w:val="clear"/>
            <w:tcMar>
              <w:left w:w="108" w:type="dxa"/>
            </w:tcMar>
            <w:vAlign w:val="center"/>
          </w:tcPr>
          <w:p>
            <w:pPr>
              <w:pStyle w:val="Standard"/>
              <w:spacing w:lineRule="auto" w:line="276"/>
              <w:jc w:val="center"/>
              <w:rPr>
                <w:bCs/>
              </w:rPr>
            </w:pPr>
            <w:r>
              <w:rPr>
                <w:bCs/>
              </w:rPr>
              <w:t>Kor</w:t>
            </w:r>
          </w:p>
        </w:tc>
        <w:tc>
          <w:tcPr>
            <w:tcW w:w="4069" w:type="dxa"/>
            <w:tcBorders/>
            <w:shd w:fill="auto" w:val="clear"/>
            <w:tcMar>
              <w:left w:w="108" w:type="dxa"/>
            </w:tcMar>
            <w:vAlign w:val="center"/>
          </w:tcPr>
          <w:p>
            <w:pPr>
              <w:pStyle w:val="Standard"/>
              <w:spacing w:lineRule="auto" w:line="276"/>
              <w:jc w:val="center"/>
              <w:rPr>
                <w:bCs/>
              </w:rPr>
            </w:pPr>
            <w:r>
              <w:rPr>
                <w:bCs/>
              </w:rPr>
              <w:t>Férfi</w:t>
            </w:r>
          </w:p>
        </w:tc>
        <w:tc>
          <w:tcPr>
            <w:tcW w:w="3128" w:type="dxa"/>
            <w:tcBorders/>
            <w:shd w:fill="auto" w:val="clear"/>
            <w:tcMar>
              <w:left w:w="108" w:type="dxa"/>
            </w:tcMar>
            <w:vAlign w:val="center"/>
          </w:tcPr>
          <w:p>
            <w:pPr>
              <w:pStyle w:val="Standard"/>
              <w:spacing w:lineRule="auto" w:line="276"/>
              <w:jc w:val="center"/>
              <w:rPr>
                <w:bCs/>
              </w:rPr>
            </w:pPr>
            <w:r>
              <w:rPr>
                <w:bCs/>
              </w:rPr>
              <w:t>Nő</w:t>
            </w:r>
          </w:p>
        </w:tc>
      </w:tr>
      <w:tr>
        <w:trPr>
          <w:trHeight w:val="418" w:hRule="atLeast"/>
        </w:trPr>
        <w:tc>
          <w:tcPr>
            <w:tcW w:w="2092" w:type="dxa"/>
            <w:tcBorders/>
            <w:shd w:fill="auto" w:val="clear"/>
            <w:tcMar>
              <w:left w:w="108" w:type="dxa"/>
            </w:tcMar>
          </w:tcPr>
          <w:p>
            <w:pPr>
              <w:pStyle w:val="Standard"/>
              <w:spacing w:lineRule="auto" w:line="276"/>
              <w:jc w:val="center"/>
              <w:rPr>
                <w:bCs/>
              </w:rPr>
            </w:pPr>
            <w:r>
              <w:rPr>
                <w:bCs/>
              </w:rPr>
              <w:t>60-70 év</w:t>
            </w:r>
          </w:p>
        </w:tc>
        <w:tc>
          <w:tcPr>
            <w:tcW w:w="4069" w:type="dxa"/>
            <w:tcBorders/>
            <w:shd w:fill="auto" w:val="clear"/>
            <w:tcMar>
              <w:left w:w="108" w:type="dxa"/>
            </w:tcMar>
            <w:vAlign w:val="center"/>
          </w:tcPr>
          <w:p>
            <w:pPr>
              <w:pStyle w:val="Standard"/>
              <w:spacing w:lineRule="auto" w:line="276"/>
              <w:jc w:val="center"/>
              <w:rPr>
                <w:bCs/>
              </w:rPr>
            </w:pPr>
            <w:r>
              <w:rPr>
                <w:bCs/>
              </w:rPr>
              <w:t>4</w:t>
            </w:r>
          </w:p>
        </w:tc>
        <w:tc>
          <w:tcPr>
            <w:tcW w:w="3128" w:type="dxa"/>
            <w:tcBorders/>
            <w:shd w:fill="auto" w:val="clear"/>
            <w:tcMar>
              <w:left w:w="108" w:type="dxa"/>
            </w:tcMar>
            <w:vAlign w:val="center"/>
          </w:tcPr>
          <w:p>
            <w:pPr>
              <w:pStyle w:val="Standard"/>
              <w:spacing w:lineRule="auto" w:line="276"/>
              <w:jc w:val="center"/>
              <w:rPr>
                <w:bCs/>
              </w:rPr>
            </w:pPr>
            <w:r>
              <w:rPr>
                <w:bCs/>
              </w:rPr>
              <w:t>2</w:t>
            </w:r>
          </w:p>
        </w:tc>
      </w:tr>
      <w:tr>
        <w:trPr>
          <w:trHeight w:val="410" w:hRule="atLeast"/>
        </w:trPr>
        <w:tc>
          <w:tcPr>
            <w:tcW w:w="2092" w:type="dxa"/>
            <w:tcBorders/>
            <w:shd w:fill="auto" w:val="clear"/>
            <w:tcMar>
              <w:left w:w="108" w:type="dxa"/>
            </w:tcMar>
          </w:tcPr>
          <w:p>
            <w:pPr>
              <w:pStyle w:val="Standard"/>
              <w:spacing w:lineRule="auto" w:line="276"/>
              <w:jc w:val="center"/>
              <w:rPr>
                <w:bCs/>
              </w:rPr>
            </w:pPr>
            <w:r>
              <w:rPr>
                <w:bCs/>
              </w:rPr>
              <w:t>71-80 év</w:t>
            </w:r>
          </w:p>
        </w:tc>
        <w:tc>
          <w:tcPr>
            <w:tcW w:w="4069" w:type="dxa"/>
            <w:tcBorders/>
            <w:shd w:fill="auto" w:val="clear"/>
            <w:tcMar>
              <w:left w:w="108" w:type="dxa"/>
            </w:tcMar>
            <w:vAlign w:val="center"/>
          </w:tcPr>
          <w:p>
            <w:pPr>
              <w:pStyle w:val="Standard"/>
              <w:spacing w:lineRule="auto" w:line="276"/>
              <w:jc w:val="center"/>
              <w:rPr>
                <w:bCs/>
              </w:rPr>
            </w:pPr>
            <w:r>
              <w:rPr>
                <w:bCs/>
              </w:rPr>
              <w:t>4</w:t>
            </w:r>
          </w:p>
        </w:tc>
        <w:tc>
          <w:tcPr>
            <w:tcW w:w="3128" w:type="dxa"/>
            <w:tcBorders/>
            <w:shd w:fill="auto" w:val="clear"/>
            <w:tcMar>
              <w:left w:w="108" w:type="dxa"/>
            </w:tcMar>
            <w:vAlign w:val="center"/>
          </w:tcPr>
          <w:p>
            <w:pPr>
              <w:pStyle w:val="Standard"/>
              <w:spacing w:lineRule="auto" w:line="276"/>
              <w:jc w:val="center"/>
              <w:rPr>
                <w:bCs/>
              </w:rPr>
            </w:pPr>
            <w:r>
              <w:rPr>
                <w:bCs/>
              </w:rPr>
              <w:t>9</w:t>
            </w:r>
          </w:p>
        </w:tc>
      </w:tr>
      <w:tr>
        <w:trPr>
          <w:trHeight w:val="415" w:hRule="atLeast"/>
        </w:trPr>
        <w:tc>
          <w:tcPr>
            <w:tcW w:w="2092" w:type="dxa"/>
            <w:tcBorders/>
            <w:shd w:fill="auto" w:val="clear"/>
            <w:tcMar>
              <w:left w:w="108" w:type="dxa"/>
            </w:tcMar>
          </w:tcPr>
          <w:p>
            <w:pPr>
              <w:pStyle w:val="Standard"/>
              <w:spacing w:lineRule="auto" w:line="276"/>
              <w:jc w:val="center"/>
              <w:rPr>
                <w:bCs/>
              </w:rPr>
            </w:pPr>
            <w:r>
              <w:rPr>
                <w:bCs/>
              </w:rPr>
              <w:t>81-90 év</w:t>
            </w:r>
          </w:p>
        </w:tc>
        <w:tc>
          <w:tcPr>
            <w:tcW w:w="4069" w:type="dxa"/>
            <w:tcBorders/>
            <w:shd w:fill="auto" w:val="clear"/>
            <w:tcMar>
              <w:left w:w="108" w:type="dxa"/>
            </w:tcMar>
            <w:vAlign w:val="center"/>
          </w:tcPr>
          <w:p>
            <w:pPr>
              <w:pStyle w:val="Standard"/>
              <w:spacing w:lineRule="auto" w:line="276"/>
              <w:jc w:val="center"/>
              <w:rPr>
                <w:bCs/>
              </w:rPr>
            </w:pPr>
            <w:r>
              <w:rPr>
                <w:bCs/>
              </w:rPr>
              <w:t>1</w:t>
            </w:r>
          </w:p>
        </w:tc>
        <w:tc>
          <w:tcPr>
            <w:tcW w:w="3128" w:type="dxa"/>
            <w:tcBorders/>
            <w:shd w:fill="auto" w:val="clear"/>
            <w:tcMar>
              <w:left w:w="108" w:type="dxa"/>
            </w:tcMar>
            <w:vAlign w:val="center"/>
          </w:tcPr>
          <w:p>
            <w:pPr>
              <w:pStyle w:val="Standard"/>
              <w:spacing w:lineRule="auto" w:line="276"/>
              <w:jc w:val="center"/>
              <w:rPr>
                <w:bCs/>
              </w:rPr>
            </w:pPr>
            <w:r>
              <w:rPr>
                <w:bCs/>
              </w:rPr>
              <w:t>11</w:t>
            </w:r>
          </w:p>
        </w:tc>
      </w:tr>
      <w:tr>
        <w:trPr>
          <w:trHeight w:val="422" w:hRule="atLeast"/>
        </w:trPr>
        <w:tc>
          <w:tcPr>
            <w:tcW w:w="2092" w:type="dxa"/>
            <w:tcBorders/>
            <w:shd w:fill="auto" w:val="clear"/>
            <w:tcMar>
              <w:left w:w="108" w:type="dxa"/>
            </w:tcMar>
          </w:tcPr>
          <w:p>
            <w:pPr>
              <w:pStyle w:val="Standard"/>
              <w:spacing w:lineRule="auto" w:line="276"/>
              <w:jc w:val="center"/>
              <w:rPr>
                <w:bCs/>
              </w:rPr>
            </w:pPr>
            <w:r>
              <w:rPr>
                <w:bCs/>
              </w:rPr>
              <w:t>90 év fölött</w:t>
            </w:r>
          </w:p>
        </w:tc>
        <w:tc>
          <w:tcPr>
            <w:tcW w:w="4069" w:type="dxa"/>
            <w:tcBorders/>
            <w:shd w:fill="auto" w:val="clear"/>
            <w:tcMar>
              <w:left w:w="108" w:type="dxa"/>
            </w:tcMar>
            <w:vAlign w:val="center"/>
          </w:tcPr>
          <w:p>
            <w:pPr>
              <w:pStyle w:val="Standard"/>
              <w:spacing w:lineRule="auto" w:line="276"/>
              <w:jc w:val="center"/>
              <w:rPr>
                <w:bCs/>
              </w:rPr>
            </w:pPr>
            <w:r>
              <w:rPr>
                <w:bCs/>
              </w:rPr>
              <w:t>-</w:t>
            </w:r>
          </w:p>
        </w:tc>
        <w:tc>
          <w:tcPr>
            <w:tcW w:w="3128" w:type="dxa"/>
            <w:tcBorders/>
            <w:shd w:fill="auto" w:val="clear"/>
            <w:tcMar>
              <w:left w:w="108" w:type="dxa"/>
            </w:tcMar>
            <w:vAlign w:val="center"/>
          </w:tcPr>
          <w:p>
            <w:pPr>
              <w:pStyle w:val="Standard"/>
              <w:spacing w:lineRule="auto" w:line="276"/>
              <w:jc w:val="center"/>
              <w:rPr>
                <w:bCs/>
              </w:rPr>
            </w:pPr>
            <w:r>
              <w:rPr>
                <w:bCs/>
              </w:rPr>
              <w:t>3</w:t>
            </w:r>
          </w:p>
        </w:tc>
      </w:tr>
      <w:tr>
        <w:trPr>
          <w:trHeight w:val="400" w:hRule="atLeast"/>
        </w:trPr>
        <w:tc>
          <w:tcPr>
            <w:tcW w:w="2092" w:type="dxa"/>
            <w:tcBorders/>
            <w:shd w:fill="auto" w:val="clear"/>
            <w:tcMar>
              <w:left w:w="108" w:type="dxa"/>
            </w:tcMar>
          </w:tcPr>
          <w:p>
            <w:pPr>
              <w:pStyle w:val="Standard"/>
              <w:spacing w:lineRule="auto" w:line="276"/>
              <w:jc w:val="center"/>
              <w:rPr>
                <w:bCs/>
              </w:rPr>
            </w:pPr>
            <w:r>
              <w:rPr>
                <w:bCs/>
              </w:rPr>
              <w:t>Összesen</w:t>
            </w:r>
          </w:p>
        </w:tc>
        <w:tc>
          <w:tcPr>
            <w:tcW w:w="4069" w:type="dxa"/>
            <w:tcBorders/>
            <w:shd w:fill="auto" w:val="clear"/>
            <w:tcMar>
              <w:left w:w="108" w:type="dxa"/>
            </w:tcMar>
            <w:vAlign w:val="center"/>
          </w:tcPr>
          <w:p>
            <w:pPr>
              <w:pStyle w:val="Standard"/>
              <w:spacing w:lineRule="auto" w:line="276"/>
              <w:jc w:val="center"/>
              <w:rPr>
                <w:bCs/>
              </w:rPr>
            </w:pPr>
            <w:r>
              <w:rPr>
                <w:bCs/>
              </w:rPr>
              <w:t>9</w:t>
            </w:r>
          </w:p>
        </w:tc>
        <w:tc>
          <w:tcPr>
            <w:tcW w:w="3128" w:type="dxa"/>
            <w:tcBorders/>
            <w:shd w:fill="auto" w:val="clear"/>
            <w:tcMar>
              <w:left w:w="108" w:type="dxa"/>
            </w:tcMar>
            <w:vAlign w:val="center"/>
          </w:tcPr>
          <w:p>
            <w:pPr>
              <w:pStyle w:val="Standard"/>
              <w:spacing w:lineRule="auto" w:line="276"/>
              <w:jc w:val="center"/>
              <w:rPr>
                <w:bCs/>
              </w:rPr>
            </w:pPr>
            <w:r>
              <w:rPr>
                <w:bCs/>
              </w:rPr>
              <w:t>23</w:t>
            </w:r>
          </w:p>
        </w:tc>
      </w:tr>
    </w:tbl>
    <w:p>
      <w:pPr>
        <w:pStyle w:val="Standard"/>
        <w:spacing w:lineRule="auto" w:line="276"/>
        <w:jc w:val="center"/>
        <w:rPr>
          <w:bCs/>
          <w:u w:val="single"/>
        </w:rPr>
      </w:pPr>
      <w:r>
        <w:rPr>
          <w:bCs/>
          <w:u w:val="single"/>
        </w:rPr>
      </w:r>
    </w:p>
    <w:p>
      <w:pPr>
        <w:pStyle w:val="Standard"/>
        <w:spacing w:lineRule="auto" w:line="276"/>
        <w:jc w:val="both"/>
        <w:rPr>
          <w:bCs/>
          <w:u w:val="single"/>
        </w:rPr>
      </w:pPr>
      <w:r>
        <w:rPr>
          <w:bCs/>
          <w:u w:val="single"/>
        </w:rPr>
      </w:r>
    </w:p>
    <w:p>
      <w:pPr>
        <w:pStyle w:val="Standard"/>
        <w:spacing w:lineRule="auto" w:line="276"/>
        <w:jc w:val="both"/>
        <w:rPr>
          <w:bCs/>
          <w:u w:val="single"/>
        </w:rPr>
      </w:pPr>
      <w:r>
        <w:rPr>
          <w:bCs/>
          <w:u w:val="single"/>
        </w:rPr>
      </w:r>
    </w:p>
    <w:p>
      <w:pPr>
        <w:pStyle w:val="Standard"/>
        <w:spacing w:lineRule="auto" w:line="276"/>
        <w:jc w:val="both"/>
        <w:rPr>
          <w:i/>
          <w:i/>
        </w:rPr>
      </w:pPr>
      <w:r>
        <w:rPr>
          <w:bCs/>
          <w:u w:val="single"/>
        </w:rPr>
        <w:t>Jelzőrendszeres házi segítségnyújtás</w:t>
      </w:r>
    </w:p>
    <w:p>
      <w:pPr>
        <w:pStyle w:val="Standard"/>
        <w:spacing w:lineRule="auto" w:line="276"/>
        <w:jc w:val="both"/>
        <w:rPr>
          <w:color w:val="FFC000"/>
        </w:rPr>
      </w:pPr>
      <w:r>
        <w:rPr>
          <w:color w:val="FFC000"/>
        </w:rPr>
      </w:r>
    </w:p>
    <w:p>
      <w:pPr>
        <w:pStyle w:val="Standard"/>
        <w:spacing w:lineRule="auto" w:line="360"/>
        <w:rPr/>
      </w:pPr>
      <w:r>
        <w:rPr/>
        <w:t>Az Orosházi Kistérség Többcélú Társulása által működtetett diszpécser központja továbbra is az Idősek Otthonában van. A kihelyezett készülékek száma kistérségi szinten:</w:t>
      </w:r>
      <w:r>
        <w:rPr>
          <w:b/>
          <w:bCs/>
        </w:rPr>
        <w:t xml:space="preserve"> </w:t>
      </w:r>
      <w:r>
        <w:rPr>
          <w:bCs/>
        </w:rPr>
        <w:t>360</w:t>
      </w:r>
      <w:r>
        <w:rPr>
          <w:b/>
          <w:bCs/>
        </w:rPr>
        <w:t xml:space="preserve"> </w:t>
      </w:r>
      <w:r>
        <w:rPr/>
        <w:t>készülék.</w:t>
      </w:r>
    </w:p>
    <w:p>
      <w:pPr>
        <w:pStyle w:val="Standard"/>
        <w:spacing w:lineRule="auto" w:line="360"/>
        <w:rPr/>
      </w:pPr>
      <w:r>
        <w:rPr/>
        <w:t xml:space="preserve">Gádoroson a felszerelt készülékek száma: </w:t>
      </w:r>
      <w:r>
        <w:rPr>
          <w:bCs/>
        </w:rPr>
        <w:t>39 db.</w:t>
      </w:r>
      <w:r>
        <w:rPr/>
        <w:t xml:space="preserve"> Az elmúlt évben fejlesztés nem volt.</w:t>
      </w:r>
    </w:p>
    <w:p>
      <w:pPr>
        <w:pStyle w:val="Normal"/>
        <w:widowControl w:val="false"/>
        <w:suppressAutoHyphens w:val="true"/>
        <w:spacing w:lineRule="auto" w:line="360" w:before="0" w:after="0"/>
        <w:jc w:val="both"/>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r>
    </w:p>
    <w:p>
      <w:pPr>
        <w:pStyle w:val="Normal"/>
        <w:widowControl w:val="false"/>
        <w:suppressAutoHyphens w:val="true"/>
        <w:spacing w:lineRule="auto" w:line="240" w:before="0" w:after="0"/>
        <w:textAlignment w:val="baseline"/>
        <w:rPr>
          <w:rFonts w:ascii="Times New Roman" w:hAnsi="Times New Roman" w:eastAsia="Lucida Sans Unicode" w:cs="Tahoma"/>
          <w:b/>
          <w:b/>
          <w:bCs/>
          <w:sz w:val="24"/>
          <w:szCs w:val="24"/>
          <w:lang w:eastAsia="zh-CN"/>
        </w:rPr>
      </w:pPr>
      <w:r>
        <w:rPr>
          <w:rFonts w:eastAsia="Lucida Sans Unicode" w:cs="Tahoma" w:ascii="Times New Roman" w:hAnsi="Times New Roman"/>
          <w:b/>
          <w:bCs/>
          <w:sz w:val="24"/>
          <w:szCs w:val="24"/>
          <w:lang w:eastAsia="zh-CN"/>
        </w:rPr>
        <w:t>Képzések, továbbképzések</w:t>
      </w:r>
    </w:p>
    <w:p>
      <w:pPr>
        <w:pStyle w:val="Normal"/>
        <w:widowControl w:val="false"/>
        <w:suppressAutoHyphens w:val="true"/>
        <w:spacing w:lineRule="auto" w:line="240" w:before="0" w:after="0"/>
        <w:textAlignment w:val="baseline"/>
        <w:rPr>
          <w:rFonts w:ascii="Times New Roman" w:hAnsi="Times New Roman" w:eastAsia="Lucida Sans Unicode" w:cs="Tahoma"/>
          <w:b/>
          <w:b/>
          <w:bCs/>
          <w:sz w:val="24"/>
          <w:szCs w:val="24"/>
          <w:lang w:eastAsia="zh-CN"/>
        </w:rPr>
      </w:pPr>
      <w:r>
        <w:rPr>
          <w:rFonts w:eastAsia="Lucida Sans Unicode" w:cs="Tahoma" w:ascii="Times New Roman" w:hAnsi="Times New Roman"/>
          <w:b/>
          <w:bCs/>
          <w:sz w:val="24"/>
          <w:szCs w:val="24"/>
          <w:lang w:eastAsia="zh-CN"/>
        </w:rPr>
      </w:r>
    </w:p>
    <w:p>
      <w:pPr>
        <w:pStyle w:val="Normal"/>
        <w:spacing w:lineRule="auto" w:line="360" w:before="0" w:after="0"/>
        <w:jc w:val="both"/>
        <w:rPr/>
      </w:pPr>
      <w:r>
        <w:rPr>
          <w:rFonts w:eastAsia="Lucida Sans Unicode" w:cs="Tahoma" w:ascii="Times New Roman" w:hAnsi="Times New Roman"/>
          <w:sz w:val="24"/>
          <w:szCs w:val="24"/>
          <w:lang w:eastAsia="zh-CN"/>
        </w:rPr>
        <w:t xml:space="preserve">Az Szt. 92/E.§ alapján működési nyilvántartásba vétel megtörtént a szakképzett dolgozókat illetően.  </w:t>
      </w:r>
      <w:r>
        <w:rPr>
          <w:rFonts w:ascii="Times New Roman" w:hAnsi="Times New Roman"/>
          <w:sz w:val="24"/>
          <w:szCs w:val="24"/>
        </w:rPr>
        <w:t>A Gondozási Központ szakdolgozói számára a 9/2000. (VIII. 4.) SzCsM. rendelet (2018.02.06-án módosult) ad útmutatást a személyes gondoskodást végz</w:t>
      </w:r>
      <w:r>
        <w:rPr>
          <w:rFonts w:cs="TimesNewRoman" w:ascii="TimesNewRoman" w:hAnsi="TimesNewRoman"/>
          <w:sz w:val="24"/>
          <w:szCs w:val="24"/>
        </w:rPr>
        <w:t xml:space="preserve">ő </w:t>
      </w:r>
      <w:r>
        <w:rPr>
          <w:rFonts w:ascii="Times New Roman" w:hAnsi="Times New Roman"/>
          <w:sz w:val="24"/>
          <w:szCs w:val="24"/>
        </w:rPr>
        <w:t>személyek továbbképzésér</w:t>
      </w:r>
      <w:r>
        <w:rPr>
          <w:rFonts w:cs="TimesNewRoman" w:ascii="TimesNewRoman" w:hAnsi="TimesNewRoman"/>
          <w:sz w:val="24"/>
          <w:szCs w:val="24"/>
        </w:rPr>
        <w:t>ő</w:t>
      </w:r>
      <w:r>
        <w:rPr>
          <w:rFonts w:ascii="Times New Roman" w:hAnsi="Times New Roman"/>
          <w:sz w:val="24"/>
          <w:szCs w:val="24"/>
        </w:rPr>
        <w:t>l, intézményvezetőket érintő vezetőképzéséről. A jogszabály kimondja, hogy a szociális tevékenységet végz</w:t>
      </w:r>
      <w:r>
        <w:rPr>
          <w:rFonts w:cs="TimesNewRoman" w:ascii="TimesNewRoman" w:hAnsi="TimesNewRoman"/>
          <w:sz w:val="24"/>
          <w:szCs w:val="24"/>
        </w:rPr>
        <w:t xml:space="preserve">ő </w:t>
      </w:r>
      <w:r>
        <w:rPr>
          <w:rFonts w:ascii="Times New Roman" w:hAnsi="Times New Roman"/>
          <w:sz w:val="24"/>
          <w:szCs w:val="24"/>
        </w:rPr>
        <w:t>személyek folyamatos szakmai továbbképzésben kötelesek részt venni. A továbbképzésre kötelezettek azok a szakalkalmazottak, akik szakmai tevékenységet végeznek, és közalkalmazotti jogviszonyban állnak az intézménnyel. Az intézmény minden dolgozója teljesítette a rá es</w:t>
      </w:r>
      <w:r>
        <w:rPr>
          <w:rFonts w:cs="TimesNewRoman" w:ascii="TimesNewRoman" w:hAnsi="TimesNewRoman"/>
          <w:sz w:val="24"/>
          <w:szCs w:val="24"/>
        </w:rPr>
        <w:t xml:space="preserve">ő </w:t>
      </w:r>
      <w:r>
        <w:rPr>
          <w:rFonts w:ascii="Times New Roman" w:hAnsi="Times New Roman"/>
          <w:sz w:val="24"/>
          <w:szCs w:val="24"/>
        </w:rPr>
        <w:t>szakmai továbbképzést. 2017-ben intézmény 3 munkatársa saját elhatározásából, saját költségén, magasabb szint</w:t>
      </w:r>
      <w:r>
        <w:rPr>
          <w:rFonts w:cs="TimesNewRoman" w:ascii="TimesNewRoman" w:hAnsi="TimesNewRoman"/>
          <w:sz w:val="24"/>
          <w:szCs w:val="24"/>
        </w:rPr>
        <w:t>ű képzésen vett részt.</w:t>
      </w:r>
    </w:p>
    <w:p>
      <w:pPr>
        <w:pStyle w:val="Normal"/>
        <w:spacing w:lineRule="auto" w:line="360"/>
        <w:jc w:val="center"/>
        <w:rPr>
          <w:rFonts w:ascii="Times New Roman" w:hAnsi="Times New Roman"/>
          <w:b/>
          <w:b/>
          <w:sz w:val="24"/>
          <w:szCs w:val="24"/>
          <w:lang w:eastAsia="en-US"/>
        </w:rPr>
      </w:pPr>
      <w:r>
        <w:rPr>
          <w:rFonts w:ascii="Times New Roman" w:hAnsi="Times New Roman"/>
          <w:b/>
          <w:sz w:val="24"/>
          <w:szCs w:val="24"/>
          <w:lang w:eastAsia="en-US"/>
        </w:rPr>
      </w:r>
    </w:p>
    <w:p>
      <w:pPr>
        <w:pStyle w:val="Normal"/>
        <w:spacing w:lineRule="auto" w:line="360"/>
        <w:jc w:val="center"/>
        <w:rPr>
          <w:rFonts w:ascii="Times New Roman" w:hAnsi="Times New Roman"/>
          <w:sz w:val="24"/>
          <w:szCs w:val="24"/>
          <w:lang w:eastAsia="en-US"/>
        </w:rPr>
      </w:pPr>
      <w:r>
        <w:rPr>
          <w:rFonts w:ascii="Times New Roman" w:hAnsi="Times New Roman"/>
          <w:b/>
          <w:sz w:val="24"/>
          <w:szCs w:val="24"/>
          <w:lang w:eastAsia="en-US"/>
        </w:rPr>
        <w:t>Gondozási Központ szervezeti felépítése</w:t>
      </w:r>
    </w:p>
    <w:p>
      <w:pPr>
        <w:pStyle w:val="Normal"/>
        <w:spacing w:lineRule="auto" w:line="360"/>
        <w:jc w:val="center"/>
        <w:rPr>
          <w:rFonts w:ascii="Times New Roman" w:hAnsi="Times New Roman"/>
          <w:b/>
          <w:b/>
          <w:i/>
          <w:i/>
          <w:sz w:val="24"/>
          <w:szCs w:val="24"/>
          <w:lang w:eastAsia="en-US"/>
        </w:rPr>
      </w:pPr>
      <w:r>
        <w:rPr>
          <w:rFonts w:ascii="Times New Roman" w:hAnsi="Times New Roman"/>
          <w:b/>
          <w:i/>
          <w:sz w:val="24"/>
          <w:szCs w:val="24"/>
          <w:lang w:eastAsia="en-US"/>
        </w:rPr>
        <w:t>Intézményvezető</w:t>
      </w:r>
    </w:p>
    <w:p>
      <w:pPr>
        <w:pStyle w:val="Normal"/>
        <w:jc w:val="center"/>
        <w:rPr>
          <w:rFonts w:ascii="Times New Roman" w:hAnsi="Times New Roman"/>
          <w:i/>
          <w:i/>
          <w:sz w:val="24"/>
          <w:szCs w:val="24"/>
          <w:lang w:eastAsia="en-US"/>
        </w:rPr>
      </w:pPr>
      <w:r>
        <w:rPr>
          <w:rFonts w:ascii="Times New Roman" w:hAnsi="Times New Roman"/>
          <w:i/>
          <w:sz w:val="24"/>
          <w:szCs w:val="24"/>
          <w:lang w:eastAsia="en-US"/>
        </w:rPr>
        <w:t>Intézményvezető helyettes</w:t>
      </w:r>
    </w:p>
    <w:p>
      <w:pPr>
        <w:pStyle w:val="Normal"/>
        <w:rPr>
          <w:rFonts w:ascii="Times New Roman" w:hAnsi="Times New Roman"/>
          <w:i/>
          <w:i/>
          <w:sz w:val="24"/>
          <w:szCs w:val="24"/>
          <w:lang w:eastAsia="en-US"/>
        </w:rPr>
      </w:pPr>
      <w:r>
        <w:rPr>
          <w:rFonts w:ascii="Times New Roman" w:hAnsi="Times New Roman"/>
          <w:i/>
          <w:sz w:val="24"/>
          <w:szCs w:val="24"/>
          <w:lang w:eastAsia="en-US"/>
        </w:rPr>
        <w:t>Házi  segítségnyújtás           Nappali ellátás          Idősek  Otthona            Védőnői Szolgálat</w:t>
      </w:r>
    </w:p>
    <w:p>
      <w:pPr>
        <w:pStyle w:val="Normal"/>
        <w:rPr>
          <w:rFonts w:ascii="Times New Roman" w:hAnsi="Times New Roman"/>
          <w:sz w:val="24"/>
          <w:szCs w:val="24"/>
          <w:lang w:eastAsia="en-US"/>
        </w:rPr>
      </w:pPr>
      <w:r>
        <w:rPr>
          <w:rFonts w:ascii="Times New Roman" w:hAnsi="Times New Roman"/>
          <w:sz w:val="24"/>
          <w:szCs w:val="24"/>
          <w:lang w:eastAsia="en-US"/>
        </w:rPr>
        <w:t>3 fő szakképzett                    1 fő szakképzett        1 fő terápiás munkatárs     2 fő védőnő</w:t>
      </w:r>
    </w:p>
    <w:p>
      <w:pPr>
        <w:pStyle w:val="Normal"/>
        <w:rPr>
          <w:rFonts w:ascii="Times New Roman" w:hAnsi="Times New Roman"/>
          <w:sz w:val="24"/>
          <w:szCs w:val="24"/>
          <w:lang w:eastAsia="en-US"/>
        </w:rPr>
      </w:pPr>
      <w:r>
        <w:rPr>
          <w:rFonts w:ascii="Times New Roman" w:hAnsi="Times New Roman"/>
          <w:sz w:val="24"/>
          <w:szCs w:val="24"/>
          <w:lang w:eastAsia="en-US"/>
        </w:rPr>
        <w:t xml:space="preserve">       </w:t>
      </w:r>
      <w:r>
        <w:rPr>
          <w:rFonts w:ascii="Times New Roman" w:hAnsi="Times New Roman"/>
          <w:sz w:val="24"/>
          <w:szCs w:val="24"/>
          <w:lang w:eastAsia="en-US"/>
        </w:rPr>
        <w:t xml:space="preserve">gondozónő                            gondozónő          8 fő szakképzett          1 fő 4 órás takarítónő  </w:t>
      </w:r>
    </w:p>
    <w:p>
      <w:pPr>
        <w:pStyle w:val="Normal"/>
        <w:rPr>
          <w:rFonts w:ascii="Times New Roman" w:hAnsi="Times New Roman"/>
          <w:sz w:val="24"/>
          <w:szCs w:val="24"/>
          <w:lang w:eastAsia="en-US"/>
        </w:rPr>
      </w:pPr>
      <w:r>
        <w:rPr>
          <w:rFonts w:ascii="Times New Roman" w:hAnsi="Times New Roman"/>
          <w:sz w:val="24"/>
          <w:szCs w:val="24"/>
          <w:lang w:eastAsia="en-US"/>
        </w:rPr>
        <w:t xml:space="preserve">                                               </w:t>
      </w:r>
      <w:r>
        <w:rPr>
          <w:rFonts w:ascii="Times New Roman" w:hAnsi="Times New Roman"/>
          <w:sz w:val="24"/>
          <w:szCs w:val="24"/>
          <w:lang w:eastAsia="en-US"/>
        </w:rPr>
        <w:t>1 fő takarítónő                   gondozónő</w:t>
      </w:r>
    </w:p>
    <w:p>
      <w:pPr>
        <w:pStyle w:val="Normal"/>
        <w:spacing w:lineRule="auto" w:line="240" w:before="0" w:after="0"/>
        <w:rPr>
          <w:rFonts w:ascii="Times New Roman" w:hAnsi="Times New Roman" w:eastAsia="Times New Roman"/>
          <w:sz w:val="24"/>
          <w:szCs w:val="24"/>
        </w:rPr>
      </w:pPr>
      <w:r>
        <w:rPr>
          <w:rFonts w:eastAsia="Times New Roman" w:ascii="Times New Roman" w:hAnsi="Times New Roman"/>
          <w:sz w:val="24"/>
          <w:szCs w:val="24"/>
        </w:rPr>
        <w:t xml:space="preserve">                                                                                 </w:t>
      </w:r>
      <w:r>
        <w:rPr>
          <w:rFonts w:eastAsia="Times New Roman" w:ascii="Times New Roman" w:hAnsi="Times New Roman"/>
          <w:sz w:val="24"/>
          <w:szCs w:val="24"/>
        </w:rPr>
        <w:t xml:space="preserve">1 fő  takarítónő </w:t>
      </w:r>
    </w:p>
    <w:p>
      <w:pPr>
        <w:pStyle w:val="Normal"/>
        <w:spacing w:lineRule="auto" w:line="240" w:before="0" w:after="0"/>
        <w:rPr>
          <w:rFonts w:ascii="Times New Roman" w:hAnsi="Times New Roman" w:eastAsia="Times New Roman"/>
          <w:sz w:val="24"/>
          <w:szCs w:val="24"/>
        </w:rPr>
      </w:pPr>
      <w:r>
        <w:rPr>
          <w:rFonts w:eastAsia="Times New Roman" w:ascii="Times New Roman" w:hAnsi="Times New Roman"/>
          <w:sz w:val="24"/>
          <w:szCs w:val="24"/>
        </w:rPr>
        <w:t xml:space="preserve">                                                                                 </w:t>
      </w:r>
      <w:r>
        <w:rPr>
          <w:rFonts w:eastAsia="Times New Roman" w:ascii="Times New Roman" w:hAnsi="Times New Roman"/>
          <w:sz w:val="24"/>
          <w:szCs w:val="24"/>
        </w:rPr>
        <w:t>2 fő 6 órás mosónő</w:t>
      </w:r>
    </w:p>
    <w:p>
      <w:pPr>
        <w:pStyle w:val="Normal"/>
        <w:widowControl w:val="false"/>
        <w:tabs>
          <w:tab w:val="left" w:pos="5070" w:leader="none"/>
        </w:tabs>
        <w:suppressAutoHyphens w:val="true"/>
        <w:spacing w:lineRule="auto" w:line="360" w:before="0" w:after="0"/>
        <w:textAlignment w:val="baseline"/>
        <w:rPr>
          <w:rFonts w:ascii="Times New Roman" w:hAnsi="Times New Roman" w:eastAsia="Lucida Sans Unicode" w:cs="Tahoma"/>
          <w:bCs/>
          <w:sz w:val="24"/>
          <w:szCs w:val="24"/>
          <w:lang w:eastAsia="zh-CN"/>
        </w:rPr>
      </w:pPr>
      <w:r>
        <w:rPr>
          <w:rFonts w:eastAsia="Lucida Sans Unicode" w:cs="Tahoma" w:ascii="Times New Roman" w:hAnsi="Times New Roman"/>
          <w:bCs/>
          <w:sz w:val="24"/>
          <w:szCs w:val="24"/>
          <w:lang w:eastAsia="zh-CN"/>
        </w:rPr>
      </w:r>
    </w:p>
    <w:p>
      <w:pPr>
        <w:pStyle w:val="Normal"/>
        <w:widowControl w:val="false"/>
        <w:tabs>
          <w:tab w:val="left" w:pos="5070" w:leader="none"/>
        </w:tabs>
        <w:suppressAutoHyphens w:val="true"/>
        <w:spacing w:lineRule="auto" w:line="360" w:before="0" w:after="0"/>
        <w:textAlignment w:val="baseline"/>
        <w:rPr>
          <w:rFonts w:ascii="Times New Roman" w:hAnsi="Times New Roman" w:eastAsia="Lucida Sans Unicode" w:cs="Tahoma"/>
          <w:bCs/>
          <w:sz w:val="24"/>
          <w:szCs w:val="24"/>
          <w:lang w:eastAsia="zh-CN"/>
        </w:rPr>
      </w:pPr>
      <w:r>
        <w:rPr>
          <w:rFonts w:eastAsia="Lucida Sans Unicode" w:cs="Tahoma" w:ascii="Times New Roman" w:hAnsi="Times New Roman"/>
          <w:bCs/>
          <w:sz w:val="24"/>
          <w:szCs w:val="24"/>
          <w:lang w:eastAsia="zh-CN"/>
        </w:rPr>
        <w:t>A hatékonyabb munkavégzés érdekében az Idősek Otthonában intézményi közfoglalkoztatott dolgozókat is alkalmazunk 2017. augusztus óta.</w:t>
      </w:r>
    </w:p>
    <w:p>
      <w:pPr>
        <w:pStyle w:val="ListParagraph"/>
        <w:widowControl w:val="false"/>
        <w:numPr>
          <w:ilvl w:val="0"/>
          <w:numId w:val="18"/>
        </w:numPr>
        <w:tabs>
          <w:tab w:val="left" w:pos="5070" w:leader="none"/>
        </w:tabs>
        <w:suppressAutoHyphens w:val="true"/>
        <w:spacing w:lineRule="auto" w:line="360" w:before="0" w:after="0"/>
        <w:textAlignment w:val="baseline"/>
        <w:rPr>
          <w:rFonts w:ascii="Times New Roman" w:hAnsi="Times New Roman" w:eastAsia="Lucida Sans Unicode" w:cs="Tahoma"/>
          <w:bCs/>
          <w:sz w:val="24"/>
          <w:szCs w:val="24"/>
          <w:lang w:eastAsia="zh-CN"/>
        </w:rPr>
      </w:pPr>
      <w:r>
        <w:rPr>
          <w:rFonts w:eastAsia="Lucida Sans Unicode" w:cs="Tahoma" w:ascii="Times New Roman" w:hAnsi="Times New Roman"/>
          <w:bCs/>
          <w:sz w:val="24"/>
          <w:szCs w:val="24"/>
          <w:lang w:eastAsia="zh-CN"/>
        </w:rPr>
        <w:t>1 fő gondozónő</w:t>
      </w:r>
    </w:p>
    <w:p>
      <w:pPr>
        <w:pStyle w:val="ListParagraph"/>
        <w:widowControl w:val="false"/>
        <w:numPr>
          <w:ilvl w:val="0"/>
          <w:numId w:val="18"/>
        </w:numPr>
        <w:tabs>
          <w:tab w:val="left" w:pos="5070" w:leader="none"/>
        </w:tabs>
        <w:suppressAutoHyphens w:val="true"/>
        <w:spacing w:lineRule="auto" w:line="360" w:before="0" w:after="0"/>
        <w:textAlignment w:val="baseline"/>
        <w:rPr>
          <w:rFonts w:ascii="Times New Roman" w:hAnsi="Times New Roman" w:eastAsia="Lucida Sans Unicode" w:cs="Tahoma"/>
          <w:bCs/>
          <w:sz w:val="24"/>
          <w:szCs w:val="24"/>
          <w:lang w:eastAsia="zh-CN"/>
        </w:rPr>
      </w:pPr>
      <w:r>
        <w:rPr>
          <w:rFonts w:eastAsia="Lucida Sans Unicode" w:cs="Tahoma" w:ascii="Times New Roman" w:hAnsi="Times New Roman"/>
          <w:bCs/>
          <w:sz w:val="24"/>
          <w:szCs w:val="24"/>
          <w:lang w:eastAsia="zh-CN"/>
        </w:rPr>
        <w:t>1 fő takarító</w:t>
      </w:r>
    </w:p>
    <w:p>
      <w:pPr>
        <w:pStyle w:val="ListParagraph"/>
        <w:widowControl w:val="false"/>
        <w:numPr>
          <w:ilvl w:val="0"/>
          <w:numId w:val="18"/>
        </w:numPr>
        <w:tabs>
          <w:tab w:val="left" w:pos="5070" w:leader="none"/>
        </w:tabs>
        <w:suppressAutoHyphens w:val="true"/>
        <w:spacing w:lineRule="auto" w:line="360" w:before="0" w:after="0"/>
        <w:textAlignment w:val="baseline"/>
        <w:rPr>
          <w:rFonts w:ascii="Times New Roman" w:hAnsi="Times New Roman" w:eastAsia="Lucida Sans Unicode" w:cs="Tahoma"/>
          <w:bCs/>
          <w:sz w:val="24"/>
          <w:szCs w:val="24"/>
          <w:lang w:eastAsia="zh-CN"/>
        </w:rPr>
      </w:pPr>
      <w:r>
        <w:rPr>
          <w:rFonts w:eastAsia="Lucida Sans Unicode" w:cs="Tahoma" w:ascii="Times New Roman" w:hAnsi="Times New Roman"/>
          <w:bCs/>
          <w:sz w:val="24"/>
          <w:szCs w:val="24"/>
          <w:lang w:eastAsia="zh-CN"/>
        </w:rPr>
        <w:t>1 fő kisegítő irodai adminisztrátor</w:t>
      </w:r>
    </w:p>
    <w:p>
      <w:pPr>
        <w:pStyle w:val="Normal"/>
        <w:widowControl w:val="false"/>
        <w:tabs>
          <w:tab w:val="left" w:pos="5070" w:leader="none"/>
        </w:tabs>
        <w:suppressAutoHyphens w:val="true"/>
        <w:spacing w:lineRule="auto" w:line="360" w:before="0" w:after="0"/>
        <w:textAlignment w:val="baseline"/>
        <w:rPr>
          <w:rFonts w:ascii="Times New Roman" w:hAnsi="Times New Roman" w:eastAsia="Lucida Sans Unicode" w:cs="Tahoma"/>
          <w:bCs/>
          <w:sz w:val="24"/>
          <w:szCs w:val="24"/>
          <w:lang w:eastAsia="zh-CN"/>
        </w:rPr>
      </w:pPr>
      <w:r>
        <w:rPr>
          <w:rFonts w:eastAsia="Lucida Sans Unicode" w:cs="Tahoma" w:ascii="Times New Roman" w:hAnsi="Times New Roman"/>
          <w:bCs/>
          <w:sz w:val="24"/>
          <w:szCs w:val="24"/>
          <w:lang w:eastAsia="zh-CN"/>
        </w:rPr>
        <w:t>2018. február óta intézményünkben 1 fő 4 órás rehabilitációs alkalmazott segíti a takarítók munkáját.</w:t>
      </w:r>
    </w:p>
    <w:p>
      <w:pPr>
        <w:pStyle w:val="Normal"/>
        <w:widowControl w:val="false"/>
        <w:tabs>
          <w:tab w:val="left" w:pos="5070" w:leader="none"/>
        </w:tabs>
        <w:suppressAutoHyphens w:val="true"/>
        <w:spacing w:lineRule="auto" w:line="360"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r>
    </w:p>
    <w:p>
      <w:pPr>
        <w:pStyle w:val="Normal"/>
        <w:widowControl w:val="false"/>
        <w:suppressAutoHyphens w:val="true"/>
        <w:spacing w:lineRule="auto" w:line="360" w:before="0" w:after="0"/>
        <w:jc w:val="both"/>
        <w:textAlignment w:val="baseline"/>
        <w:rPr>
          <w:rFonts w:ascii="Times New Roman" w:hAnsi="Times New Roman" w:eastAsia="Lucida Sans Unicode" w:cs="Tahoma"/>
          <w:sz w:val="24"/>
          <w:szCs w:val="24"/>
          <w:lang w:eastAsia="zh-CN"/>
        </w:rPr>
      </w:pPr>
      <w:r>
        <w:rPr>
          <w:rFonts w:eastAsia="Lucida Sans Unicode" w:cs="Tahoma" w:ascii="Times New Roman" w:hAnsi="Times New Roman"/>
          <w:b/>
          <w:sz w:val="24"/>
          <w:szCs w:val="24"/>
          <w:lang w:eastAsia="zh-CN"/>
        </w:rPr>
        <w:t>Szakmai munka értékelése</w:t>
      </w:r>
    </w:p>
    <w:p>
      <w:pPr>
        <w:pStyle w:val="Normal"/>
        <w:widowControl w:val="false"/>
        <w:suppressAutoHyphens w:val="true"/>
        <w:spacing w:lineRule="auto" w:line="360" w:before="0" w:after="0"/>
        <w:jc w:val="both"/>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 xml:space="preserve">Intézményünkben működő team összetétele: Orvos, intézményvezető, szociális és mentálhigiénés munkatárs, gondozónők. Az intézményvezető a team munkáját koordinálja, és a feladatok teljesítéséről gondoskodik. A szociális team megbeszéléseket tart, felvetik a problémákat, közösen kidolgozzák a megoldási módokat, és értékelik az eredményeket. A problémák közös megbeszélése, a közös felelősségvállalás olyan munkaforma elsajátítását követeli meg a tagoktól, melyben a mellérendelő viszony dominál. Középpontban az ellátást igénybevevő áll a saját szükségleteivel, körülötte pedig együttműködésben a kompetens szociális szakemberek. Az ellátás biztosítása során fokozott figyelmet fordítottunk arra, hogy az ellátásban részesülő személyek emberi jogai ne sérüljenek, az állampolgári jogok érvényesüljenek, egyén autonómiáját minden eszközzel segítő, humanizált környezetben valósuljon meg az ellátás. </w:t>
      </w:r>
    </w:p>
    <w:p>
      <w:pPr>
        <w:pStyle w:val="Normal"/>
        <w:widowControl w:val="false"/>
        <w:suppressAutoHyphens w:val="true"/>
        <w:spacing w:lineRule="auto" w:line="360" w:before="0" w:after="0"/>
        <w:jc w:val="both"/>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Az elmúlt évben minden alkalommal elvégeztük az előgondozást, és a szükséges tájékoztatást megadtuk a leendőellátást igénybevevők, illetve hozzátartozóik részére. Az előgondozás szükségessége, és fontossága a beilleszkedés folyamatában nyert megerősítést. Mindent megtettünk az ellátást igénybevevő testi-lelki aktivitásának fenntartása érdekében.</w:t>
      </w:r>
    </w:p>
    <w:p>
      <w:pPr>
        <w:pStyle w:val="Normal"/>
        <w:widowControl w:val="false"/>
        <w:suppressAutoHyphens w:val="true"/>
        <w:spacing w:lineRule="auto" w:line="360" w:before="0" w:after="0"/>
        <w:jc w:val="both"/>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 xml:space="preserve">Az ellátást igénybevevők részére az egyéni szükségleteiknek megfelelően biztosítottuk a fizikai ellátást, figyelembe vettük a megmaradt képességeiket, és igyekeztünk az elvesztett képességeket a megfelelő rehabilitációs eljárással visszahozni, illetve szinten tartani. </w:t>
      </w:r>
    </w:p>
    <w:p>
      <w:pPr>
        <w:pStyle w:val="Normal"/>
        <w:widowControl w:val="false"/>
        <w:suppressAutoHyphens w:val="true"/>
        <w:spacing w:lineRule="auto" w:line="360" w:before="0" w:after="0"/>
        <w:jc w:val="both"/>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r>
    </w:p>
    <w:p>
      <w:pPr>
        <w:pStyle w:val="Normal"/>
        <w:widowControl w:val="false"/>
        <w:suppressAutoHyphens w:val="true"/>
        <w:spacing w:lineRule="auto" w:line="360" w:before="0" w:after="0"/>
        <w:jc w:val="both"/>
        <w:textAlignment w:val="baseline"/>
        <w:rPr>
          <w:rFonts w:ascii="Times New Roman" w:hAnsi="Times New Roman" w:eastAsia="Lucida Sans Unicode" w:cs="Tahoma"/>
          <w:b/>
          <w:b/>
          <w:sz w:val="24"/>
          <w:szCs w:val="24"/>
          <w:lang w:eastAsia="zh-CN"/>
        </w:rPr>
      </w:pPr>
      <w:r>
        <w:rPr>
          <w:rFonts w:eastAsia="Lucida Sans Unicode" w:cs="Tahoma" w:ascii="Times New Roman" w:hAnsi="Times New Roman"/>
          <w:b/>
          <w:sz w:val="24"/>
          <w:szCs w:val="24"/>
          <w:lang w:eastAsia="zh-CN"/>
        </w:rPr>
        <w:t>Összegzés</w:t>
      </w:r>
    </w:p>
    <w:p>
      <w:pPr>
        <w:pStyle w:val="Normal"/>
        <w:widowControl w:val="false"/>
        <w:suppressAutoHyphens w:val="true"/>
        <w:spacing w:lineRule="auto" w:line="360" w:before="0" w:after="0"/>
        <w:jc w:val="both"/>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 xml:space="preserve">Intézményünk működésének lényeges eleme, hogy a szakma követelményrendszereinek </w:t>
      </w:r>
    </w:p>
    <w:p>
      <w:pPr>
        <w:pStyle w:val="Normal"/>
        <w:widowControl w:val="false"/>
        <w:suppressAutoHyphens w:val="true"/>
        <w:spacing w:lineRule="auto" w:line="360" w:before="0" w:after="0"/>
        <w:jc w:val="both"/>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megfelelő,</w:t>
      </w:r>
      <w:r>
        <w:rPr>
          <w:rFonts w:ascii="Times New Roman" w:hAnsi="Times New Roman"/>
          <w:sz w:val="24"/>
          <w:szCs w:val="24"/>
        </w:rPr>
        <w:t xml:space="preserve"> szakmai felkészültséggel, emberséggel és szeretettel végezze minden dolgozó a munkáját, segítse a rábízottakat. </w:t>
      </w:r>
      <w:r>
        <w:rPr>
          <w:rFonts w:eastAsia="Lucida Sans Unicode" w:cs="Tahoma" w:ascii="Times New Roman" w:hAnsi="Times New Roman"/>
          <w:sz w:val="24"/>
          <w:szCs w:val="24"/>
          <w:lang w:eastAsia="zh-CN"/>
        </w:rPr>
        <w:t>Hisszük, hogy csak magas fokú hozzáértéssel nyújthatunk színvonalas, minőségi szolgáltatást intézményünkben.</w:t>
      </w:r>
    </w:p>
    <w:p>
      <w:pPr>
        <w:pStyle w:val="Normal"/>
        <w:widowControl w:val="false"/>
        <w:suppressAutoHyphens w:val="true"/>
        <w:spacing w:lineRule="auto" w:line="360" w:before="0" w:after="0"/>
        <w:jc w:val="both"/>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 xml:space="preserve">Működésünk során arra törekszünk, hogy az általunk nyújtott szolgáltatások minden munkamozzanatát megfelelően összhangba hozzuk a szolgáltatásainkat igénybe vevők emberileg természetes, szakmailag indokolt elvárásaival. A hazai alkalmazott módszerekkel, eljárásokkal, törvényekkel, rendeletekkel, hatósági elvárásokkal, szociális munka etikai kódexével. </w:t>
      </w:r>
    </w:p>
    <w:p>
      <w:pPr>
        <w:pStyle w:val="Normal"/>
        <w:spacing w:lineRule="auto" w:line="360" w:before="0" w:after="0"/>
        <w:jc w:val="both"/>
        <w:rPr>
          <w:rFonts w:ascii="Times New Roman" w:hAnsi="Times New Roman"/>
          <w:sz w:val="24"/>
          <w:szCs w:val="24"/>
        </w:rPr>
      </w:pPr>
      <w:r>
        <w:rPr>
          <w:rFonts w:ascii="Times New Roman" w:hAnsi="Times New Roman"/>
          <w:sz w:val="24"/>
          <w:szCs w:val="24"/>
        </w:rPr>
        <w:t>Továbbra is fontosnak tartjuk, hogy jó kapcsolatot ápoljunk a társ intézményekkel, különböz</w:t>
      </w:r>
      <w:r>
        <w:rPr>
          <w:rFonts w:cs="TimesNewRoman" w:ascii="TimesNewRoman" w:hAnsi="TimesNewRoman"/>
          <w:sz w:val="24"/>
          <w:szCs w:val="24"/>
        </w:rPr>
        <w:t xml:space="preserve">ő </w:t>
      </w:r>
      <w:r>
        <w:rPr>
          <w:rFonts w:ascii="Times New Roman" w:hAnsi="Times New Roman"/>
          <w:sz w:val="24"/>
          <w:szCs w:val="24"/>
        </w:rPr>
        <w:t>hivatalokkal, háziorvossal, szakrendel</w:t>
      </w:r>
      <w:r>
        <w:rPr>
          <w:rFonts w:cs="TimesNewRoman" w:ascii="TimesNewRoman" w:hAnsi="TimesNewRoman"/>
          <w:sz w:val="24"/>
          <w:szCs w:val="24"/>
        </w:rPr>
        <w:t>ő</w:t>
      </w:r>
      <w:r>
        <w:rPr>
          <w:rFonts w:ascii="Times New Roman" w:hAnsi="Times New Roman"/>
          <w:sz w:val="24"/>
          <w:szCs w:val="24"/>
        </w:rPr>
        <w:t>kkel és más egészségügyi szolgáltatást ellátó intézményekkel, a település civil szervezeteivel és intézményeivel, és a fenntartó</w:t>
      </w:r>
      <w:r>
        <w:rPr>
          <w:rFonts w:cs="TimesNewRoman" w:ascii="TimesNewRoman" w:hAnsi="TimesNewRoman"/>
          <w:sz w:val="24"/>
          <w:szCs w:val="24"/>
        </w:rPr>
        <w:t xml:space="preserve"> </w:t>
      </w:r>
      <w:r>
        <w:rPr>
          <w:rFonts w:ascii="Times New Roman" w:hAnsi="Times New Roman"/>
          <w:sz w:val="24"/>
          <w:szCs w:val="24"/>
        </w:rPr>
        <w:t xml:space="preserve">önkormányzattal. </w:t>
      </w:r>
    </w:p>
    <w:p>
      <w:pPr>
        <w:pStyle w:val="Normal"/>
        <w:spacing w:lineRule="auto" w:line="360" w:before="0" w:after="0"/>
        <w:jc w:val="both"/>
        <w:rPr>
          <w:rFonts w:ascii="Times New Roman" w:hAnsi="Times New Roman"/>
          <w:sz w:val="24"/>
          <w:szCs w:val="24"/>
        </w:rPr>
      </w:pPr>
      <w:r>
        <w:rPr>
          <w:rFonts w:ascii="Times New Roman" w:hAnsi="Times New Roman"/>
          <w:color w:val="000000"/>
          <w:sz w:val="24"/>
          <w:szCs w:val="24"/>
        </w:rPr>
        <w:t>A dolgozók továbbra is részt vállalnak közösségi rendezvényeken, programokon, végeznek plusz feladatokat.</w:t>
      </w:r>
    </w:p>
    <w:p>
      <w:pPr>
        <w:pStyle w:val="Normal"/>
        <w:widowControl w:val="false"/>
        <w:suppressAutoHyphens w:val="true"/>
        <w:spacing w:lineRule="auto" w:line="240" w:before="0" w:after="0"/>
        <w:textAlignment w:val="baseline"/>
        <w:rPr>
          <w:rFonts w:ascii="Times New Roman" w:hAnsi="Times New Roman" w:eastAsia="Lucida Sans Unicode" w:cs="Tahoma"/>
          <w:b/>
          <w:b/>
          <w:bCs/>
          <w:sz w:val="24"/>
          <w:szCs w:val="24"/>
          <w:lang w:eastAsia="zh-CN"/>
        </w:rPr>
      </w:pPr>
      <w:r>
        <w:rPr>
          <w:rFonts w:eastAsia="Lucida Sans Unicode" w:cs="Tahoma" w:ascii="Times New Roman" w:hAnsi="Times New Roman"/>
          <w:b/>
          <w:bCs/>
          <w:sz w:val="24"/>
          <w:szCs w:val="24"/>
          <w:lang w:eastAsia="zh-CN"/>
        </w:rPr>
      </w:r>
    </w:p>
    <w:p>
      <w:pPr>
        <w:pStyle w:val="Normal"/>
        <w:widowControl w:val="false"/>
        <w:suppressAutoHyphens w:val="true"/>
        <w:spacing w:lineRule="auto" w:line="240" w:before="0" w:after="0"/>
        <w:textAlignment w:val="baseline"/>
        <w:rPr>
          <w:rFonts w:ascii="Times New Roman" w:hAnsi="Times New Roman" w:eastAsia="Lucida Sans Unicode" w:cs="Tahoma"/>
          <w:b/>
          <w:b/>
          <w:bCs/>
          <w:sz w:val="24"/>
          <w:szCs w:val="24"/>
          <w:lang w:eastAsia="zh-CN"/>
        </w:rPr>
      </w:pPr>
      <w:r>
        <w:rPr>
          <w:rFonts w:eastAsia="Lucida Sans Unicode" w:cs="Tahoma" w:ascii="Times New Roman" w:hAnsi="Times New Roman"/>
          <w:b/>
          <w:bCs/>
          <w:sz w:val="24"/>
          <w:szCs w:val="24"/>
          <w:lang w:eastAsia="zh-CN"/>
        </w:rPr>
        <w:t>Ellenőrzések</w:t>
      </w:r>
    </w:p>
    <w:p>
      <w:pPr>
        <w:pStyle w:val="Normal"/>
        <w:widowControl w:val="false"/>
        <w:suppressAutoHyphens w:val="true"/>
        <w:spacing w:lineRule="auto" w:line="240" w:before="0" w:after="0"/>
        <w:textAlignment w:val="baseline"/>
        <w:rPr>
          <w:rFonts w:ascii="Times New Roman" w:hAnsi="Times New Roman" w:eastAsia="Lucida Sans Unicode" w:cs="Tahoma"/>
          <w:b/>
          <w:b/>
          <w:bCs/>
          <w:sz w:val="24"/>
          <w:szCs w:val="24"/>
          <w:lang w:eastAsia="zh-CN"/>
        </w:rPr>
      </w:pPr>
      <w:r>
        <w:rPr>
          <w:rFonts w:eastAsia="Lucida Sans Unicode" w:cs="Tahoma" w:ascii="Times New Roman" w:hAnsi="Times New Roman"/>
          <w:b/>
          <w:bCs/>
          <w:sz w:val="24"/>
          <w:szCs w:val="24"/>
          <w:lang w:eastAsia="zh-CN"/>
        </w:rPr>
      </w:r>
    </w:p>
    <w:p>
      <w:pPr>
        <w:pStyle w:val="Normal"/>
        <w:widowControl w:val="false"/>
        <w:suppressAutoHyphens w:val="true"/>
        <w:spacing w:lineRule="auto" w:line="360" w:before="0" w:after="0"/>
        <w:textAlignment w:val="baseline"/>
        <w:rPr>
          <w:rFonts w:ascii="Times New Roman" w:hAnsi="Times New Roman" w:eastAsia="Lucida Sans Unicode" w:cs="Tahoma"/>
          <w:bCs/>
          <w:sz w:val="24"/>
          <w:szCs w:val="24"/>
          <w:lang w:eastAsia="zh-CN"/>
        </w:rPr>
      </w:pPr>
      <w:r>
        <w:rPr>
          <w:rFonts w:eastAsia="Lucida Sans Unicode" w:cs="Tahoma" w:ascii="Times New Roman" w:hAnsi="Times New Roman"/>
          <w:bCs/>
          <w:sz w:val="24"/>
          <w:szCs w:val="24"/>
          <w:lang w:eastAsia="zh-CN"/>
        </w:rPr>
        <w:t>2017. augusztus hóban a Békés Megyei Kormányhivatal, mint megyei működést engedélyező hatóság, a Szociális és Gyámügyi Főigazgatóság helyszíni ellenőrzést tartott. A végzés február 27-én érkezett meg, a hibák kijavítására 20 illetve 30 napos határidőt kaptunk, ami egy alkalommal két hónappal meghosszabbítható. A Békés Megyei Kormányhivatal Békéscsabai Járási hivatalának népegészségügyi, élelmiszer ellenőrzés, építésügyi szerve, Békés Megyei Katasztrófavédelmi Igazgatóság Békéscsabai Katasztrófavédelmi Kirendeltsége is ellenőrzött ezzel egy időben, kisebb hibákat feltártak, amik időközben kijavításra kerültek.</w:t>
      </w:r>
    </w:p>
    <w:p>
      <w:pPr>
        <w:pStyle w:val="Normal"/>
        <w:widowControl w:val="false"/>
        <w:suppressAutoHyphens w:val="true"/>
        <w:spacing w:lineRule="auto" w:line="360" w:before="0" w:after="0"/>
        <w:jc w:val="both"/>
        <w:textAlignment w:val="baseline"/>
        <w:rPr>
          <w:rFonts w:ascii="Times New Roman" w:hAnsi="Times New Roman" w:eastAsia="Lucida Sans Unicode" w:cs="Tahoma"/>
          <w:sz w:val="24"/>
          <w:szCs w:val="24"/>
          <w:lang w:eastAsia="zh-CN"/>
        </w:rPr>
      </w:pPr>
      <w:bookmarkStart w:id="4" w:name="_GoBack"/>
      <w:bookmarkEnd w:id="4"/>
      <w:r>
        <w:rPr>
          <w:rFonts w:eastAsia="Lucida Sans Unicode" w:cs="Tahoma" w:ascii="Times New Roman" w:hAnsi="Times New Roman"/>
          <w:sz w:val="24"/>
          <w:szCs w:val="24"/>
          <w:lang w:eastAsia="zh-CN"/>
        </w:rPr>
        <w:t>2017. február hóban a normatívát megalapozó nyilvántartásokat ellenőrizte a belső ellenőr. Az év során tervezett létszám alapján történik a normatíva lehívása. Az ellenőrzés hiányosságot nem tárt fel.</w:t>
      </w:r>
    </w:p>
    <w:p>
      <w:pPr>
        <w:pStyle w:val="Normal"/>
        <w:spacing w:lineRule="auto" w:line="360" w:before="0" w:after="0"/>
        <w:jc w:val="both"/>
        <w:rPr>
          <w:rFonts w:ascii="Times New Roman" w:hAnsi="Times New Roman"/>
          <w:b/>
          <w:b/>
          <w:sz w:val="24"/>
          <w:szCs w:val="24"/>
        </w:rPr>
      </w:pPr>
      <w:r>
        <w:rPr>
          <w:rFonts w:ascii="Times New Roman" w:hAnsi="Times New Roman"/>
          <w:b/>
          <w:sz w:val="24"/>
          <w:szCs w:val="24"/>
        </w:rPr>
        <w:t>Gazdálkodás</w:t>
      </w:r>
    </w:p>
    <w:p>
      <w:pPr>
        <w:pStyle w:val="Normal"/>
        <w:spacing w:lineRule="auto" w:line="360" w:before="0" w:after="0"/>
        <w:jc w:val="both"/>
        <w:rPr>
          <w:rFonts w:ascii="Times New Roman" w:hAnsi="Times New Roman"/>
          <w:color w:val="FF0000"/>
          <w:sz w:val="24"/>
          <w:szCs w:val="24"/>
        </w:rPr>
      </w:pPr>
      <w:r>
        <w:rPr>
          <w:rFonts w:ascii="Times New Roman" w:hAnsi="Times New Roman"/>
          <w:sz w:val="24"/>
          <w:szCs w:val="24"/>
        </w:rPr>
        <w:t xml:space="preserve">Az intézmény gazdálkodása kiegyensúlyozott volt, a jelen beszámolási évet is a fokozott takarékosság és fegyelmezett gazdálkodás jellemezte. </w:t>
      </w:r>
      <w:r>
        <w:rPr>
          <w:rFonts w:eastAsia="Lucida Sans Unicode" w:cs="Tahoma" w:ascii="Times New Roman" w:hAnsi="Times New Roman"/>
          <w:sz w:val="24"/>
          <w:szCs w:val="24"/>
          <w:lang w:eastAsia="zh-CN"/>
        </w:rPr>
        <w:t xml:space="preserve">Az intézmény a céljait a költségvetésben elfogadott kereteken belül próbálta megvalósítani. </w:t>
      </w:r>
      <w:r>
        <w:rPr>
          <w:rFonts w:ascii="Times New Roman" w:hAnsi="Times New Roman"/>
          <w:sz w:val="24"/>
          <w:szCs w:val="24"/>
        </w:rPr>
        <w:t xml:space="preserve"> Az intézmény a m</w:t>
      </w:r>
      <w:r>
        <w:rPr>
          <w:rFonts w:cs="TimesNewRoman" w:ascii="TimesNewRoman" w:hAnsi="TimesNewRoman"/>
          <w:sz w:val="24"/>
          <w:szCs w:val="24"/>
        </w:rPr>
        <w:t>ű</w:t>
      </w:r>
      <w:r>
        <w:rPr>
          <w:rFonts w:ascii="Times New Roman" w:hAnsi="Times New Roman"/>
          <w:sz w:val="24"/>
          <w:szCs w:val="24"/>
        </w:rPr>
        <w:t>ködése során a hatékony gazdálkodásra, a szolgáltatások min</w:t>
      </w:r>
      <w:r>
        <w:rPr>
          <w:rFonts w:cs="TimesNewRoman" w:ascii="TimesNewRoman" w:hAnsi="TimesNewRoman"/>
          <w:sz w:val="24"/>
          <w:szCs w:val="24"/>
        </w:rPr>
        <w:t>ő</w:t>
      </w:r>
      <w:r>
        <w:rPr>
          <w:rFonts w:ascii="Times New Roman" w:hAnsi="Times New Roman"/>
          <w:sz w:val="24"/>
          <w:szCs w:val="24"/>
        </w:rPr>
        <w:t>ségének javítására, szinten tartására törekszik</w:t>
      </w:r>
      <w:r>
        <w:rPr>
          <w:rFonts w:ascii="Times New Roman" w:hAnsi="Times New Roman"/>
          <w:color w:val="FF0000"/>
          <w:sz w:val="24"/>
          <w:szCs w:val="24"/>
        </w:rPr>
        <w:t xml:space="preserve">. </w:t>
      </w:r>
    </w:p>
    <w:p>
      <w:pPr>
        <w:pStyle w:val="Normal"/>
        <w:widowControl w:val="false"/>
        <w:suppressAutoHyphens w:val="true"/>
        <w:spacing w:lineRule="auto" w:line="360"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r>
    </w:p>
    <w:p>
      <w:pPr>
        <w:pStyle w:val="Normal"/>
        <w:widowControl w:val="false"/>
        <w:suppressAutoHyphens w:val="true"/>
        <w:spacing w:lineRule="auto" w:line="360"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Beszámolómat ennyiben kívántam előterjeszteni. Kérem a Tisztelt Képviselő-testületet, hogy beszámolómat megvitatni és elfogadni szíveskedjenek.</w:t>
      </w:r>
    </w:p>
    <w:p>
      <w:pPr>
        <w:pStyle w:val="Normal"/>
        <w:widowControl w:val="false"/>
        <w:suppressAutoHyphens w:val="true"/>
        <w:spacing w:lineRule="auto" w:line="360"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r>
    </w:p>
    <w:p>
      <w:pPr>
        <w:pStyle w:val="Normal"/>
        <w:widowControl w:val="false"/>
        <w:suppressAutoHyphens w:val="true"/>
        <w:spacing w:lineRule="auto" w:line="360"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r>
    </w:p>
    <w:p>
      <w:pPr>
        <w:pStyle w:val="Normal"/>
        <w:widowControl w:val="false"/>
        <w:suppressAutoHyphens w:val="true"/>
        <w:spacing w:lineRule="auto" w:line="360"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Gádoros, 2018.03.05.                                                                                  Kerekes Józsefné</w:t>
      </w:r>
    </w:p>
    <w:p>
      <w:pPr>
        <w:pStyle w:val="Normal"/>
        <w:widowControl w:val="false"/>
        <w:suppressAutoHyphens w:val="true"/>
        <w:spacing w:lineRule="auto" w:line="360"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t xml:space="preserve">                                                                                                                      </w:t>
      </w:r>
      <w:r>
        <w:rPr>
          <w:rFonts w:eastAsia="Lucida Sans Unicode" w:cs="Tahoma" w:ascii="Times New Roman" w:hAnsi="Times New Roman"/>
          <w:sz w:val="24"/>
          <w:szCs w:val="24"/>
          <w:lang w:eastAsia="zh-CN"/>
        </w:rPr>
        <w:t>intézményvezető</w:t>
      </w:r>
    </w:p>
    <w:p>
      <w:pPr>
        <w:pStyle w:val="Normal"/>
        <w:widowControl w:val="false"/>
        <w:suppressAutoHyphens w:val="true"/>
        <w:spacing w:before="0" w:after="0"/>
        <w:textAlignment w:val="baseline"/>
        <w:rPr>
          <w:rFonts w:ascii="Times New Roman" w:hAnsi="Times New Roman" w:eastAsia="Lucida Sans Unicode" w:cs="Tahoma"/>
          <w:sz w:val="24"/>
          <w:szCs w:val="24"/>
          <w:lang w:eastAsia="zh-CN"/>
        </w:rPr>
      </w:pPr>
      <w:r>
        <w:rPr>
          <w:rFonts w:eastAsia="Lucida Sans Unicode" w:cs="Tahoma" w:ascii="Times New Roman" w:hAnsi="Times New Roman"/>
          <w:sz w:val="24"/>
          <w:szCs w:val="24"/>
          <w:lang w:eastAsia="zh-CN"/>
        </w:rPr>
      </w:r>
    </w:p>
    <w:p>
      <w:pPr>
        <w:pStyle w:val="Normal"/>
        <w:widowControl w:val="false"/>
        <w:suppressAutoHyphens w:val="true"/>
        <w:spacing w:lineRule="auto" w:line="240" w:before="0" w:after="0"/>
        <w:textAlignment w:val="baseline"/>
        <w:rPr/>
      </w:pPr>
      <w:r>
        <w:rPr/>
      </w:r>
    </w:p>
    <w:sectPr>
      <w:footerReference w:type="default" r:id="rId3"/>
      <w:type w:val="nextPage"/>
      <w:pgSz w:w="11906" w:h="16838"/>
      <w:pgMar w:left="1417" w:right="1417" w:header="0" w:top="1417" w:footer="708"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mbria">
    <w:charset w:val="ee"/>
    <w:family w:val="roman"/>
    <w:pitch w:val="variable"/>
  </w:font>
  <w:font w:name="Tahoma">
    <w:charset w:val="ee"/>
    <w:family w:val="roman"/>
    <w:pitch w:val="variable"/>
  </w:font>
  <w:font w:name="Times New Roman">
    <w:charset w:val="ee"/>
    <w:family w:val="roman"/>
    <w:pitch w:val="variable"/>
  </w:font>
  <w:font w:name="Liberation Sans">
    <w:altName w:val="Arial"/>
    <w:charset w:val="ee"/>
    <w:family w:val="swiss"/>
    <w:pitch w:val="variable"/>
  </w:font>
  <w:font w:name="TimesNewRoman">
    <w:charset w:val="ee"/>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939133333"/>
    </w:sdtPr>
    <w:sdtContent>
      <w:p>
        <w:pPr>
          <w:pStyle w:val="Llb"/>
          <w:jc w:val="center"/>
          <w:rPr/>
        </w:pPr>
        <w:r>
          <w:rPr/>
          <w:fldChar w:fldCharType="begin"/>
        </w:r>
        <w:r>
          <w:instrText> PAGE </w:instrText>
        </w:r>
        <w:r>
          <w:fldChar w:fldCharType="separate"/>
        </w:r>
        <w:r>
          <w:t>23</w:t>
        </w:r>
        <w:r>
          <w:fldChar w:fldCharType="end"/>
        </w:r>
      </w:p>
    </w:sdtContent>
  </w:sdt>
  <w:p>
    <w:pPr>
      <w:pStyle w:val="Llb"/>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3">
    <w:lvl w:ilvl="0">
      <w:start w:val="1"/>
      <w:numFmt w:val="bullet"/>
      <w:lvlText w:val=""/>
      <w:lvlJc w:val="left"/>
      <w:pPr>
        <w:ind w:left="720" w:hanging="360"/>
      </w:pPr>
      <w:rPr>
        <w:rFonts w:ascii="Symbol" w:hAnsi="Symbol" w:cs="Symbol" w:hint="default"/>
        <w:sz w:val="24"/>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2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2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hu-H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hu-HU" w:eastAsia="hu-H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57541"/>
    <w:pPr>
      <w:widowControl/>
      <w:bidi w:val="0"/>
      <w:spacing w:lineRule="auto" w:line="276" w:before="0" w:after="200"/>
      <w:jc w:val="left"/>
    </w:pPr>
    <w:rPr>
      <w:rFonts w:ascii="Calibri" w:hAnsi="Calibri" w:eastAsia="Calibri" w:cs="Times New Roman"/>
      <w:color w:val="auto"/>
      <w:sz w:val="22"/>
      <w:szCs w:val="22"/>
      <w:lang w:val="hu-HU" w:eastAsia="hu-HU" w:bidi="ar-SA"/>
    </w:rPr>
  </w:style>
  <w:style w:type="paragraph" w:styleId="Cmsor2">
    <w:name w:val="Heading 2"/>
    <w:basedOn w:val="Normal"/>
    <w:link w:val="Cmsor2Char"/>
    <w:uiPriority w:val="9"/>
    <w:semiHidden/>
    <w:unhideWhenUsed/>
    <w:qFormat/>
    <w:rsid w:val="007a418c"/>
    <w:pPr>
      <w:keepNext/>
      <w:keepLines/>
      <w:spacing w:before="200" w:after="0"/>
      <w:outlineLvl w:val="1"/>
    </w:pPr>
    <w:rPr>
      <w:rFonts w:ascii="Cambria" w:hAnsi="Cambria" w:eastAsia="" w:cs="" w:asciiTheme="majorHAnsi" w:cstheme="majorBidi" w:eastAsiaTheme="majorEastAsia" w:hAnsiTheme="majorHAnsi"/>
      <w:b/>
      <w:bCs/>
      <w:color w:val="4F81BD" w:themeColor="accent1"/>
      <w:sz w:val="26"/>
      <w:szCs w:val="26"/>
    </w:rPr>
  </w:style>
  <w:style w:type="paragraph" w:styleId="Cmsor3">
    <w:name w:val="Heading 3"/>
    <w:basedOn w:val="Normal"/>
    <w:link w:val="Cmsor3Char"/>
    <w:uiPriority w:val="9"/>
    <w:semiHidden/>
    <w:unhideWhenUsed/>
    <w:qFormat/>
    <w:rsid w:val="00e90d8c"/>
    <w:pPr>
      <w:keepNext/>
      <w:keepLines/>
      <w:spacing w:before="200" w:after="0"/>
      <w:outlineLvl w:val="2"/>
    </w:pPr>
    <w:rPr>
      <w:rFonts w:ascii="Cambria" w:hAnsi="Cambria" w:eastAsia="" w:cs="" w:asciiTheme="majorHAnsi" w:cstheme="majorBidi" w:eastAsiaTheme="majorEastAsia" w:hAnsiTheme="majorHAnsi"/>
      <w:b/>
      <w:bCs/>
      <w:color w:val="4F81BD" w:themeColor="accent1"/>
    </w:rPr>
  </w:style>
  <w:style w:type="character" w:styleId="DefaultParagraphFont" w:default="1">
    <w:name w:val="Default Paragraph Font"/>
    <w:uiPriority w:val="1"/>
    <w:semiHidden/>
    <w:unhideWhenUsed/>
    <w:qFormat/>
    <w:rPr/>
  </w:style>
  <w:style w:type="character" w:styleId="BuborkszvegChar" w:customStyle="1">
    <w:name w:val="Buborékszöveg Char"/>
    <w:link w:val="Buborkszveg"/>
    <w:uiPriority w:val="99"/>
    <w:semiHidden/>
    <w:qFormat/>
    <w:rsid w:val="009f79a9"/>
    <w:rPr>
      <w:rFonts w:ascii="Tahoma" w:hAnsi="Tahoma" w:cs="Tahoma"/>
      <w:sz w:val="16"/>
      <w:szCs w:val="16"/>
    </w:rPr>
  </w:style>
  <w:style w:type="character" w:styleId="Strong">
    <w:name w:val="Strong"/>
    <w:uiPriority w:val="22"/>
    <w:qFormat/>
    <w:rsid w:val="004849d6"/>
    <w:rPr>
      <w:b/>
      <w:bCs/>
    </w:rPr>
  </w:style>
  <w:style w:type="character" w:styleId="SzvegtrzsChar" w:customStyle="1">
    <w:name w:val="Szövegtörzs Char"/>
    <w:basedOn w:val="DefaultParagraphFont"/>
    <w:link w:val="Szvegtrzs"/>
    <w:qFormat/>
    <w:rsid w:val="004c5767"/>
    <w:rPr>
      <w:rFonts w:ascii="Times New Roman" w:hAnsi="Times New Roman" w:eastAsia="Lucida Sans Unicode" w:cs="Tahoma"/>
      <w:sz w:val="24"/>
      <w:szCs w:val="24"/>
      <w:lang w:eastAsia="zh-CN"/>
    </w:rPr>
  </w:style>
  <w:style w:type="character" w:styleId="LfejChar" w:customStyle="1">
    <w:name w:val="Élőfej Char"/>
    <w:basedOn w:val="DefaultParagraphFont"/>
    <w:link w:val="lfej"/>
    <w:uiPriority w:val="99"/>
    <w:qFormat/>
    <w:rsid w:val="000f5655"/>
    <w:rPr>
      <w:sz w:val="22"/>
      <w:szCs w:val="22"/>
    </w:rPr>
  </w:style>
  <w:style w:type="character" w:styleId="LlbChar" w:customStyle="1">
    <w:name w:val="Élőláb Char"/>
    <w:basedOn w:val="DefaultParagraphFont"/>
    <w:link w:val="llb"/>
    <w:uiPriority w:val="99"/>
    <w:qFormat/>
    <w:rsid w:val="000f5655"/>
    <w:rPr>
      <w:sz w:val="22"/>
      <w:szCs w:val="22"/>
    </w:rPr>
  </w:style>
  <w:style w:type="character" w:styleId="Internethivatkozs">
    <w:name w:val="Internet-hivatkozás"/>
    <w:basedOn w:val="DefaultParagraphFont"/>
    <w:uiPriority w:val="99"/>
    <w:unhideWhenUsed/>
    <w:rsid w:val="00a60157"/>
    <w:rPr>
      <w:color w:val="0000FF" w:themeColor="hyperlink"/>
      <w:u w:val="single"/>
    </w:rPr>
  </w:style>
  <w:style w:type="character" w:styleId="Cmsor2Char" w:customStyle="1">
    <w:name w:val="Címsor 2 Char"/>
    <w:basedOn w:val="DefaultParagraphFont"/>
    <w:link w:val="Cmsor2"/>
    <w:uiPriority w:val="9"/>
    <w:semiHidden/>
    <w:qFormat/>
    <w:rsid w:val="007a418c"/>
    <w:rPr>
      <w:rFonts w:ascii="Cambria" w:hAnsi="Cambria" w:eastAsia="" w:cs="" w:asciiTheme="majorHAnsi" w:cstheme="majorBidi" w:eastAsiaTheme="majorEastAsia" w:hAnsiTheme="majorHAnsi"/>
      <w:b/>
      <w:bCs/>
      <w:color w:val="4F81BD" w:themeColor="accent1"/>
      <w:sz w:val="26"/>
      <w:szCs w:val="26"/>
    </w:rPr>
  </w:style>
  <w:style w:type="character" w:styleId="Cmsor3Char" w:customStyle="1">
    <w:name w:val="Címsor 3 Char"/>
    <w:basedOn w:val="DefaultParagraphFont"/>
    <w:link w:val="Cmsor3"/>
    <w:uiPriority w:val="9"/>
    <w:semiHidden/>
    <w:qFormat/>
    <w:rsid w:val="00e90d8c"/>
    <w:rPr>
      <w:rFonts w:ascii="Cambria" w:hAnsi="Cambria" w:eastAsia="" w:cs="" w:asciiTheme="majorHAnsi" w:cstheme="majorBidi" w:eastAsiaTheme="majorEastAsia" w:hAnsiTheme="majorHAnsi"/>
      <w:b/>
      <w:bCs/>
      <w:color w:val="4F81BD" w:themeColor="accent1"/>
      <w:sz w:val="22"/>
      <w:szCs w:val="22"/>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Symbol"/>
    </w:rPr>
  </w:style>
  <w:style w:type="character" w:styleId="ListLabel14">
    <w:name w:val="ListLabel 14"/>
    <w:qFormat/>
    <w:rPr>
      <w:rFonts w:ascii="Times New Roman" w:hAnsi="Times New Roman" w:cs="Symbol"/>
      <w:sz w:val="24"/>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Symbol"/>
      <w:sz w:val="25"/>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Symbol"/>
      <w:color w:val="000000"/>
    </w:rPr>
  </w:style>
  <w:style w:type="character" w:styleId="ListLabel23">
    <w:name w:val="ListLabel 23"/>
    <w:qFormat/>
    <w:rPr>
      <w:rFonts w:cs="Symbol"/>
      <w:color w:val="000000"/>
    </w:rPr>
  </w:style>
  <w:style w:type="character" w:styleId="ListLabel24">
    <w:name w:val="ListLabel 24"/>
    <w:qFormat/>
    <w:rPr>
      <w:rFonts w:cs="Symbol"/>
      <w:color w:val="000000"/>
    </w:rPr>
  </w:style>
  <w:style w:type="character" w:styleId="ListLabel25">
    <w:name w:val="ListLabel 25"/>
    <w:qFormat/>
    <w:rPr>
      <w:rFonts w:cs="Symbol"/>
      <w:color w:val="000000"/>
    </w:rPr>
  </w:style>
  <w:style w:type="character" w:styleId="ListLabel26">
    <w:name w:val="ListLabel 26"/>
    <w:qFormat/>
    <w:rPr>
      <w:rFonts w:cs="Symbol"/>
      <w:color w:val="000000"/>
    </w:rPr>
  </w:style>
  <w:style w:type="character" w:styleId="ListLabel27">
    <w:name w:val="ListLabel 27"/>
    <w:qFormat/>
    <w:rPr>
      <w:rFonts w:cs="Symbol"/>
      <w:color w:val="000000"/>
    </w:rPr>
  </w:style>
  <w:style w:type="character" w:styleId="ListLabel28">
    <w:name w:val="ListLabel 28"/>
    <w:qFormat/>
    <w:rPr>
      <w:rFonts w:cs="Symbol"/>
      <w:color w:val="000000"/>
    </w:rPr>
  </w:style>
  <w:style w:type="character" w:styleId="ListLabel29">
    <w:name w:val="ListLabel 29"/>
    <w:qFormat/>
    <w:rPr>
      <w:rFonts w:cs="Symbol"/>
      <w:color w:val="000000"/>
    </w:rPr>
  </w:style>
  <w:style w:type="character" w:styleId="ListLabel30">
    <w:name w:val="ListLabel 30"/>
    <w:qFormat/>
    <w:rPr>
      <w:rFonts w:cs="Symbol"/>
      <w:color w:val="000000"/>
    </w:rPr>
  </w:style>
  <w:style w:type="character" w:styleId="ListLabel31">
    <w:name w:val="ListLabel 31"/>
    <w:qFormat/>
    <w:rPr>
      <w:rFonts w:cs="Symbol"/>
      <w:sz w:val="25"/>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rFonts w:cs="Symbol"/>
      <w:sz w:val="25"/>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cs="Courier New"/>
    </w:rPr>
  </w:style>
  <w:style w:type="character" w:styleId="ListLabel43">
    <w:name w:val="ListLabel 43"/>
    <w:qFormat/>
    <w:rPr>
      <w:rFonts w:cs="Courier New"/>
    </w:rPr>
  </w:style>
  <w:style w:type="character" w:styleId="ListLabel44">
    <w:name w:val="ListLabel 44"/>
    <w:qFormat/>
    <w:rPr>
      <w:rFonts w:cs="Courier New"/>
    </w:rPr>
  </w:style>
  <w:style w:type="character" w:styleId="ListLabel45">
    <w:name w:val="ListLabel 45"/>
    <w:qFormat/>
    <w:rPr>
      <w:rFonts w:eastAsia="Times New Roman" w:cs="Times New Roman"/>
    </w:rPr>
  </w:style>
  <w:style w:type="character" w:styleId="ListLabel46">
    <w:name w:val="ListLabel 46"/>
    <w:qFormat/>
    <w:rPr>
      <w:rFonts w:cs="Courier New"/>
    </w:rPr>
  </w:style>
  <w:style w:type="character" w:styleId="ListLabel47">
    <w:name w:val="ListLabel 47"/>
    <w:qFormat/>
    <w:rPr>
      <w:rFonts w:cs="Courier New"/>
    </w:rPr>
  </w:style>
  <w:style w:type="character" w:styleId="ListLabel48">
    <w:name w:val="ListLabel 48"/>
    <w:qFormat/>
    <w:rPr>
      <w:rFonts w:cs="Courier New"/>
    </w:rPr>
  </w:style>
  <w:style w:type="character" w:styleId="ListLabel49">
    <w:name w:val="ListLabel 49"/>
    <w:qFormat/>
    <w:rPr>
      <w:rFonts w:eastAsia="Times New Roman" w:cs="Times New Roman"/>
    </w:rPr>
  </w:style>
  <w:style w:type="character" w:styleId="ListLabel50">
    <w:name w:val="ListLabel 50"/>
    <w:qFormat/>
    <w:rPr>
      <w:rFonts w:cs="Courier New"/>
    </w:rPr>
  </w:style>
  <w:style w:type="character" w:styleId="ListLabel51">
    <w:name w:val="ListLabel 51"/>
    <w:qFormat/>
    <w:rPr>
      <w:rFonts w:cs="Courier New"/>
    </w:rPr>
  </w:style>
  <w:style w:type="character" w:styleId="ListLabel52">
    <w:name w:val="ListLabel 52"/>
    <w:qFormat/>
    <w:rPr>
      <w:rFonts w:cs="Courier New"/>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rFonts w:cs="Courier New"/>
    </w:rPr>
  </w:style>
  <w:style w:type="character" w:styleId="ListLabel57">
    <w:name w:val="ListLabel 57"/>
    <w:qFormat/>
    <w:rPr>
      <w:rFonts w:cs="Courier New"/>
    </w:rPr>
  </w:style>
  <w:style w:type="character" w:styleId="ListLabel58">
    <w:name w:val="ListLabel 58"/>
    <w:qFormat/>
    <w:rPr>
      <w:rFonts w:cs="Courier New"/>
    </w:rPr>
  </w:style>
  <w:style w:type="character" w:styleId="ListLabel59">
    <w:name w:val="ListLabel 59"/>
    <w:qFormat/>
    <w:rPr>
      <w:rFonts w:cs="Courier New"/>
    </w:rPr>
  </w:style>
  <w:style w:type="character" w:styleId="ListLabel60">
    <w:name w:val="ListLabel 60"/>
    <w:qFormat/>
    <w:rPr>
      <w:rFonts w:cs="Courier New"/>
    </w:rPr>
  </w:style>
  <w:style w:type="character" w:styleId="ListLabel61">
    <w:name w:val="ListLabel 61"/>
    <w:qFormat/>
    <w:rPr>
      <w:rFonts w:cs="Courier New"/>
    </w:rPr>
  </w:style>
  <w:style w:type="character" w:styleId="ListLabel62">
    <w:name w:val="ListLabel 62"/>
    <w:qFormat/>
    <w:rPr>
      <w:rFonts w:cs="Courier New"/>
    </w:rPr>
  </w:style>
  <w:style w:type="character" w:styleId="ListLabel63">
    <w:name w:val="ListLabel 63"/>
    <w:qFormat/>
    <w:rPr>
      <w:rFonts w:cs="Courier New"/>
    </w:rPr>
  </w:style>
  <w:style w:type="character" w:styleId="ListLabel64">
    <w:name w:val="ListLabel 64"/>
    <w:qFormat/>
    <w:rPr>
      <w:rFonts w:cs="Courier New"/>
    </w:rPr>
  </w:style>
  <w:style w:type="character" w:styleId="ListLabel65">
    <w:name w:val="ListLabel 65"/>
    <w:qFormat/>
    <w:rPr>
      <w:rFonts w:cs="Courier New"/>
    </w:rPr>
  </w:style>
  <w:style w:type="character" w:styleId="ListLabel66">
    <w:name w:val="ListLabel 66"/>
    <w:qFormat/>
    <w:rPr>
      <w:rFonts w:cs="Courier New"/>
    </w:rPr>
  </w:style>
  <w:style w:type="character" w:styleId="ListLabel67">
    <w:name w:val="ListLabel 67"/>
    <w:qFormat/>
    <w:rPr>
      <w:rFonts w:cs="Courier New"/>
    </w:rPr>
  </w:style>
  <w:style w:type="character" w:styleId="ListLabel68">
    <w:name w:val="ListLabel 68"/>
    <w:qFormat/>
    <w:rPr>
      <w:rFonts w:cs="Courier New"/>
    </w:rPr>
  </w:style>
  <w:style w:type="character" w:styleId="ListLabel69">
    <w:name w:val="ListLabel 69"/>
    <w:qFormat/>
    <w:rPr>
      <w:rFonts w:cs="Courier New"/>
    </w:rPr>
  </w:style>
  <w:style w:type="character" w:styleId="ListLabel70">
    <w:name w:val="ListLabel 70"/>
    <w:qFormat/>
    <w:rPr>
      <w:rFonts w:cs="Courier New"/>
    </w:rPr>
  </w:style>
  <w:style w:type="character" w:styleId="ListLabel71">
    <w:name w:val="ListLabel 71"/>
    <w:qFormat/>
    <w:rPr>
      <w:rFonts w:cs="Courier New"/>
    </w:rPr>
  </w:style>
  <w:style w:type="character" w:styleId="ListLabel72">
    <w:name w:val="ListLabel 72"/>
    <w:qFormat/>
    <w:rPr>
      <w:rFonts w:cs="Courier New"/>
    </w:rPr>
  </w:style>
  <w:style w:type="character" w:styleId="ListLabel73">
    <w:name w:val="ListLabel 73"/>
    <w:qFormat/>
    <w:rPr>
      <w:rFonts w:cs="Courier New"/>
    </w:rPr>
  </w:style>
  <w:style w:type="character" w:styleId="ListLabel74">
    <w:name w:val="ListLabel 74"/>
    <w:qFormat/>
    <w:rPr>
      <w:rFonts w:cs="Courier New"/>
    </w:rPr>
  </w:style>
  <w:style w:type="character" w:styleId="ListLabel75">
    <w:name w:val="ListLabel 75"/>
    <w:qFormat/>
    <w:rPr>
      <w:rFonts w:cs="Courier New"/>
    </w:rPr>
  </w:style>
  <w:style w:type="character" w:styleId="ListLabel76">
    <w:name w:val="ListLabel 76"/>
    <w:qFormat/>
    <w:rPr>
      <w:rFonts w:cs="Courier New"/>
    </w:rPr>
  </w:style>
  <w:style w:type="character" w:styleId="ListLabel77">
    <w:name w:val="ListLabel 77"/>
    <w:qFormat/>
    <w:rPr>
      <w:rFonts w:cs="Courier New"/>
    </w:rPr>
  </w:style>
  <w:style w:type="character" w:styleId="ListLabel78">
    <w:name w:val="ListLabel 78"/>
    <w:qFormat/>
    <w:rPr>
      <w:rFonts w:cs="Courier New"/>
    </w:rPr>
  </w:style>
  <w:style w:type="character" w:styleId="ListLabel79">
    <w:name w:val="ListLabel 79"/>
    <w:qFormat/>
    <w:rPr>
      <w:rFonts w:cs="Courier New"/>
    </w:rPr>
  </w:style>
  <w:style w:type="character" w:styleId="ListLabel80">
    <w:name w:val="ListLabel 80"/>
    <w:qFormat/>
    <w:rPr>
      <w:rFonts w:cs="Courier New"/>
    </w:rPr>
  </w:style>
  <w:style w:type="character" w:styleId="ListLabel81">
    <w:name w:val="ListLabel 81"/>
    <w:qFormat/>
    <w:rPr>
      <w:rFonts w:cs="Courier New"/>
    </w:rPr>
  </w:style>
  <w:style w:type="character" w:styleId="ListLabel82">
    <w:name w:val="ListLabel 82"/>
    <w:qFormat/>
    <w:rPr>
      <w:rFonts w:cs="Courier New"/>
    </w:rPr>
  </w:style>
  <w:style w:type="character" w:styleId="ListLabel83">
    <w:name w:val="ListLabel 83"/>
    <w:qFormat/>
    <w:rPr>
      <w:rFonts w:cs="Courier New"/>
    </w:rPr>
  </w:style>
  <w:style w:type="character" w:styleId="ListLabel84">
    <w:name w:val="ListLabel 84"/>
    <w:qFormat/>
    <w:rPr>
      <w:rFonts w:cs="Courier New"/>
    </w:rPr>
  </w:style>
  <w:style w:type="character" w:styleId="ListLabel85">
    <w:name w:val="ListLabel 85"/>
    <w:qFormat/>
    <w:rPr>
      <w:rFonts w:cs="Courier New"/>
    </w:rPr>
  </w:style>
  <w:style w:type="character" w:styleId="ListLabel86">
    <w:name w:val="ListLabel 86"/>
    <w:qFormat/>
    <w:rPr>
      <w:rFonts w:cs="Courier New"/>
    </w:rPr>
  </w:style>
  <w:style w:type="character" w:styleId="ListLabel87">
    <w:name w:val="ListLabel 87"/>
    <w:qFormat/>
    <w:rPr>
      <w:rFonts w:cs="Courier New"/>
    </w:rPr>
  </w:style>
  <w:style w:type="character" w:styleId="ListLabel88">
    <w:name w:val="ListLabel 88"/>
    <w:qFormat/>
    <w:rPr>
      <w:rFonts w:cs="Courier New"/>
    </w:rPr>
  </w:style>
  <w:style w:type="character" w:styleId="ListLabel89">
    <w:name w:val="ListLabel 89"/>
    <w:qFormat/>
    <w:rPr>
      <w:rFonts w:cs="Courier New"/>
    </w:rPr>
  </w:style>
  <w:style w:type="character" w:styleId="ListLabel90">
    <w:name w:val="ListLabel 90"/>
    <w:qFormat/>
    <w:rPr>
      <w:rFonts w:cs="Courier New"/>
    </w:rPr>
  </w:style>
  <w:style w:type="character" w:styleId="ListLabel91">
    <w:name w:val="ListLabel 91"/>
    <w:qFormat/>
    <w:rPr>
      <w:rFonts w:cs="Courier New"/>
    </w:rPr>
  </w:style>
  <w:style w:type="character" w:styleId="ListLabel92">
    <w:name w:val="ListLabel 92"/>
    <w:qFormat/>
    <w:rPr>
      <w:rFonts w:cs="Courier New"/>
    </w:rPr>
  </w:style>
  <w:style w:type="character" w:styleId="ListLabel93">
    <w:name w:val="ListLabel 93"/>
    <w:qFormat/>
    <w:rPr>
      <w:rFonts w:cs="Courier New"/>
    </w:rPr>
  </w:style>
  <w:style w:type="character" w:styleId="ListLabel94">
    <w:name w:val="ListLabel 94"/>
    <w:qFormat/>
    <w:rPr>
      <w:rFonts w:cs="Courier New"/>
    </w:rPr>
  </w:style>
  <w:style w:type="character" w:styleId="ListLabel95">
    <w:name w:val="ListLabel 95"/>
    <w:qFormat/>
    <w:rPr>
      <w:rFonts w:cs="Courier New"/>
    </w:rPr>
  </w:style>
  <w:style w:type="character" w:styleId="ListLabel96">
    <w:name w:val="ListLabel 96"/>
    <w:qFormat/>
    <w:rPr>
      <w:rFonts w:cs="Courier New"/>
    </w:rPr>
  </w:style>
  <w:style w:type="character" w:styleId="ListLabel97">
    <w:name w:val="ListLabel 97"/>
    <w:qFormat/>
    <w:rPr>
      <w:rFonts w:cs="Courier New"/>
    </w:rPr>
  </w:style>
  <w:style w:type="character" w:styleId="ListLabel98">
    <w:name w:val="ListLabel 98"/>
    <w:qFormat/>
    <w:rPr>
      <w:rFonts w:eastAsia="Times New Roman" w:cs="Times New Roman"/>
    </w:rPr>
  </w:style>
  <w:style w:type="character" w:styleId="ListLabel99">
    <w:name w:val="ListLabel 99"/>
    <w:qFormat/>
    <w:rPr>
      <w:rFonts w:cs="Courier New"/>
    </w:rPr>
  </w:style>
  <w:style w:type="character" w:styleId="ListLabel100">
    <w:name w:val="ListLabel 100"/>
    <w:qFormat/>
    <w:rPr>
      <w:rFonts w:cs="Courier New"/>
    </w:rPr>
  </w:style>
  <w:style w:type="character" w:styleId="ListLabel101">
    <w:name w:val="ListLabel 101"/>
    <w:qFormat/>
    <w:rPr>
      <w:rFonts w:cs="Courier New"/>
    </w:rPr>
  </w:style>
  <w:style w:type="character" w:styleId="ListLabel102">
    <w:name w:val="ListLabel 102"/>
    <w:qFormat/>
    <w:rPr>
      <w:rFonts w:cs="Courier New"/>
    </w:rPr>
  </w:style>
  <w:style w:type="character" w:styleId="ListLabel103">
    <w:name w:val="ListLabel 103"/>
    <w:qFormat/>
    <w:rPr>
      <w:rFonts w:cs="Courier New"/>
    </w:rPr>
  </w:style>
  <w:style w:type="character" w:styleId="ListLabel104">
    <w:name w:val="ListLabel 104"/>
    <w:qFormat/>
    <w:rPr>
      <w:rFonts w:cs="Courier New"/>
    </w:rPr>
  </w:style>
  <w:style w:type="paragraph" w:styleId="Cmsor">
    <w:name w:val="Címsor"/>
    <w:basedOn w:val="Normal"/>
    <w:next w:val="Szvegtrzs"/>
    <w:qFormat/>
    <w:pPr>
      <w:keepNext/>
      <w:spacing w:before="240" w:after="120"/>
    </w:pPr>
    <w:rPr>
      <w:rFonts w:ascii="Liberation Sans" w:hAnsi="Liberation Sans" w:eastAsia="Microsoft YaHei" w:cs="Mangal"/>
      <w:sz w:val="28"/>
      <w:szCs w:val="28"/>
    </w:rPr>
  </w:style>
  <w:style w:type="paragraph" w:styleId="Szvegtrzs">
    <w:name w:val="Body Text"/>
    <w:basedOn w:val="Normal"/>
    <w:link w:val="SzvegtrzsChar"/>
    <w:rsid w:val="004c5767"/>
    <w:pPr>
      <w:widowControl w:val="false"/>
      <w:suppressAutoHyphens w:val="true"/>
      <w:spacing w:lineRule="auto" w:line="288" w:before="0" w:after="140"/>
      <w:textAlignment w:val="baseline"/>
    </w:pPr>
    <w:rPr>
      <w:rFonts w:ascii="Times New Roman" w:hAnsi="Times New Roman" w:eastAsia="Lucida Sans Unicode" w:cs="Tahoma"/>
      <w:sz w:val="24"/>
      <w:szCs w:val="24"/>
      <w:lang w:eastAsia="zh-CN"/>
    </w:rPr>
  </w:style>
  <w:style w:type="paragraph" w:styleId="Lista">
    <w:name w:val="List"/>
    <w:basedOn w:val="Szvegtrzs"/>
    <w:pPr/>
    <w:rPr>
      <w:rFonts w:cs="Mangal"/>
    </w:rPr>
  </w:style>
  <w:style w:type="paragraph" w:styleId="Felirat">
    <w:name w:val="Caption"/>
    <w:basedOn w:val="Normal"/>
    <w:qFormat/>
    <w:pPr>
      <w:suppressLineNumbers/>
      <w:spacing w:before="120" w:after="120"/>
    </w:pPr>
    <w:rPr>
      <w:rFonts w:cs="Mangal"/>
      <w:i/>
      <w:iCs/>
      <w:sz w:val="24"/>
      <w:szCs w:val="24"/>
    </w:rPr>
  </w:style>
  <w:style w:type="paragraph" w:styleId="Trgymutat">
    <w:name w:val="Tárgymutató"/>
    <w:basedOn w:val="Normal"/>
    <w:qFormat/>
    <w:pPr>
      <w:suppressLineNumbers/>
    </w:pPr>
    <w:rPr>
      <w:rFonts w:cs="Mangal"/>
    </w:rPr>
  </w:style>
  <w:style w:type="paragraph" w:styleId="BalloonText">
    <w:name w:val="Balloon Text"/>
    <w:basedOn w:val="Normal"/>
    <w:link w:val="BuborkszvegChar"/>
    <w:uiPriority w:val="99"/>
    <w:semiHidden/>
    <w:unhideWhenUsed/>
    <w:qFormat/>
    <w:rsid w:val="009f79a9"/>
    <w:pPr>
      <w:spacing w:lineRule="auto" w:line="240" w:before="0" w:after="0"/>
    </w:pPr>
    <w:rPr>
      <w:rFonts w:ascii="Tahoma" w:hAnsi="Tahoma" w:cs="Tahoma"/>
      <w:sz w:val="16"/>
      <w:szCs w:val="16"/>
    </w:rPr>
  </w:style>
  <w:style w:type="paragraph" w:styleId="NormalWeb">
    <w:name w:val="Normal (Web)"/>
    <w:basedOn w:val="Normal"/>
    <w:uiPriority w:val="99"/>
    <w:semiHidden/>
    <w:unhideWhenUsed/>
    <w:qFormat/>
    <w:rsid w:val="004849d6"/>
    <w:pPr>
      <w:spacing w:lineRule="auto" w:line="240" w:beforeAutospacing="1" w:afterAutospacing="1"/>
    </w:pPr>
    <w:rPr>
      <w:rFonts w:ascii="Times New Roman" w:hAnsi="Times New Roman" w:eastAsia="Times New Roman"/>
      <w:sz w:val="24"/>
      <w:szCs w:val="24"/>
    </w:rPr>
  </w:style>
  <w:style w:type="paragraph" w:styleId="Default" w:customStyle="1">
    <w:name w:val="Default"/>
    <w:qFormat/>
    <w:rsid w:val="005e239c"/>
    <w:pPr>
      <w:widowControl/>
      <w:bidi w:val="0"/>
      <w:jc w:val="left"/>
    </w:pPr>
    <w:rPr>
      <w:rFonts w:ascii="Times New Roman" w:hAnsi="Times New Roman" w:eastAsia="Calibri" w:cs="Times New Roman"/>
      <w:color w:val="000000"/>
      <w:sz w:val="24"/>
      <w:szCs w:val="24"/>
      <w:lang w:val="hu-HU" w:eastAsia="hu-HU" w:bidi="ar-SA"/>
    </w:rPr>
  </w:style>
  <w:style w:type="paragraph" w:styleId="Standard" w:customStyle="1">
    <w:name w:val="Standard"/>
    <w:qFormat/>
    <w:rsid w:val="00eb71bf"/>
    <w:pPr>
      <w:widowControl w:val="false"/>
      <w:suppressAutoHyphens w:val="true"/>
      <w:bidi w:val="0"/>
      <w:jc w:val="left"/>
    </w:pPr>
    <w:rPr>
      <w:rFonts w:ascii="Times New Roman" w:hAnsi="Times New Roman" w:eastAsia="Lucida Sans Unicode" w:cs="Tahoma"/>
      <w:color w:val="auto"/>
      <w:sz w:val="24"/>
      <w:szCs w:val="24"/>
      <w:lang w:eastAsia="zh-CN" w:val="hu-HU" w:bidi="ar-SA"/>
    </w:rPr>
  </w:style>
  <w:style w:type="paragraph" w:styleId="Tblzattartalom" w:customStyle="1">
    <w:name w:val="Táblázattartalom"/>
    <w:basedOn w:val="Normal"/>
    <w:qFormat/>
    <w:rsid w:val="001b5021"/>
    <w:pPr>
      <w:widowControl w:val="false"/>
      <w:suppressLineNumbers/>
      <w:suppressAutoHyphens w:val="true"/>
      <w:spacing w:lineRule="auto" w:line="240" w:before="0" w:after="0"/>
    </w:pPr>
    <w:rPr>
      <w:rFonts w:ascii="Times New Roman" w:hAnsi="Times New Roman" w:eastAsia="Lucida Sans Unicode" w:cs="Tahoma"/>
      <w:sz w:val="24"/>
      <w:szCs w:val="24"/>
      <w:lang w:eastAsia="zh-CN"/>
    </w:rPr>
  </w:style>
  <w:style w:type="paragraph" w:styleId="Textbody" w:customStyle="1">
    <w:name w:val="Text body"/>
    <w:basedOn w:val="Standard"/>
    <w:qFormat/>
    <w:rsid w:val="0038096b"/>
    <w:pPr>
      <w:spacing w:before="0" w:after="120"/>
      <w:textAlignment w:val="baseline"/>
    </w:pPr>
    <w:rPr/>
  </w:style>
  <w:style w:type="paragraph" w:styleId="ListParagraph">
    <w:name w:val="List Paragraph"/>
    <w:basedOn w:val="Normal"/>
    <w:uiPriority w:val="34"/>
    <w:qFormat/>
    <w:rsid w:val="00c860f0"/>
    <w:pPr>
      <w:spacing w:before="0" w:after="200"/>
      <w:ind w:left="720" w:hanging="0"/>
      <w:contextualSpacing/>
    </w:pPr>
    <w:rPr/>
  </w:style>
  <w:style w:type="paragraph" w:styleId="Font" w:customStyle="1">
    <w:name w:val="font"/>
    <w:basedOn w:val="Standard"/>
    <w:qFormat/>
    <w:rsid w:val="00de3050"/>
    <w:pPr>
      <w:suppressAutoHyphens w:val="false"/>
      <w:spacing w:before="100" w:after="100"/>
      <w:jc w:val="both"/>
    </w:pPr>
    <w:rPr/>
  </w:style>
  <w:style w:type="paragraph" w:styleId="Lfej">
    <w:name w:val="Header"/>
    <w:basedOn w:val="Normal"/>
    <w:link w:val="lfejChar"/>
    <w:uiPriority w:val="99"/>
    <w:unhideWhenUsed/>
    <w:rsid w:val="000f5655"/>
    <w:pPr>
      <w:tabs>
        <w:tab w:val="center" w:pos="4536" w:leader="none"/>
        <w:tab w:val="right" w:pos="9072" w:leader="none"/>
      </w:tabs>
      <w:spacing w:lineRule="auto" w:line="240" w:before="0" w:after="0"/>
    </w:pPr>
    <w:rPr/>
  </w:style>
  <w:style w:type="paragraph" w:styleId="Llb">
    <w:name w:val="Footer"/>
    <w:basedOn w:val="Normal"/>
    <w:link w:val="llbChar"/>
    <w:uiPriority w:val="99"/>
    <w:unhideWhenUsed/>
    <w:rsid w:val="000f5655"/>
    <w:pPr>
      <w:tabs>
        <w:tab w:val="center" w:pos="4536" w:leader="none"/>
        <w:tab w:val="right" w:pos="9072" w:leader="none"/>
      </w:tabs>
      <w:spacing w:lineRule="auto" w:line="240" w:before="0" w:after="0"/>
    </w:pPr>
    <w:rPr/>
  </w:style>
  <w:style w:type="numbering" w:styleId="NoList" w:default="1">
    <w:name w:val="No List"/>
    <w:uiPriority w:val="99"/>
    <w:semiHidden/>
    <w:unhideWhenUsed/>
    <w:qFormat/>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table" w:styleId="Rcsostblzat">
    <w:name w:val="Table Grid"/>
    <w:basedOn w:val="Normltblzat"/>
    <w:uiPriority w:val="59"/>
    <w:rsid w:val="007f140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67A15-3E5C-4F15-8293-885B075C3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2947</TotalTime>
  <Application>LibreOffice/5.1.2.2$Windows_x86 LibreOffice_project/d3bf12ecb743fc0d20e0be0c58ca359301eb705f</Application>
  <Pages>23</Pages>
  <Words>4837</Words>
  <CharactersWithSpaces>33377</CharactersWithSpaces>
  <Paragraphs>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2017-02-27T18:14:00Z</dcterms:created>
  <dc:creator>user</dc:creator>
  <dc:description/>
  <dc:language>hu-HU</dc:language>
  <cp:lastModifiedBy/>
  <dcterms:modified xsi:type="dcterms:W3CDTF">2018-03-05T12:18:27Z</dcterms:modified>
  <cp:revision>150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